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98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36"/>
        <w:gridCol w:w="7128"/>
      </w:tblGrid>
      <w:tr w:rsidR="00466521">
        <w:trPr>
          <w:trHeight w:val="9682"/>
        </w:trPr>
        <w:tc>
          <w:tcPr>
            <w:tcW w:w="24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66521" w:rsidRDefault="00CF1E32">
            <w:pPr>
              <w:pStyle w:val="Heading1"/>
              <w:rPr>
                <w:i w:val="0"/>
                <w:iCs w:val="0"/>
                <w:u w:val="none"/>
              </w:rPr>
            </w:pPr>
            <w:r>
              <w:rPr>
                <w:i w:val="0"/>
                <w:iCs w:val="0"/>
                <w:u w:val="none"/>
              </w:rPr>
              <w:t>NAZIV KORISNIKA: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SAŽETAK DJELOKRUGA RADA: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FINANCIJSKI  PLAN ZA 2027. - 2029. GODINU: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466521" w:rsidRDefault="00466521">
            <w:pPr>
              <w:rPr>
                <w:sz w:val="20"/>
                <w:szCs w:val="20"/>
              </w:rPr>
            </w:pPr>
          </w:p>
        </w:tc>
        <w:tc>
          <w:tcPr>
            <w:tcW w:w="7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STROJARSKA TEHNIČKA ŠKOLA OSIJEK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Strojarska tehnička škola Osijek je strukovna škola koja obrazuje učenike u sektoru strojarstva i brodogradnje i to: 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za područje strojarstva (A) – strojarski računalni tehničar (015324), tehničar za vozila i vozna sredstva (011224) i tehničar za energetiku (010404)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za područje strojarstva (C) – automehaničar (014233), autolimar (014033), bravar (014133), limar (013933), instalater grijanja i klimatizacije (013633), vodoinstalater (013833), plinoinstalater (013733).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JMO program – automehatroničar – JMO (331153).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dualni model obrazovanja – CNC operater (442703)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modularna nastava – operater za strojne obrade (011806), automehatroničar (014234), serviser karoserije motornih vozila (011805), monter strojarskih instalacija (015203), izrađivač-monter strojarskih konstrukcija (015103), tehničar u strojarstvu (010105), tehničar za vozila (011225).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Strojarska tehnička škola Osijek djeluje zajedno s Elektrotehničkom i prometnom školom Osijek u zgradi u Istarskoj ulici br. 3. Nastava je organizirana tako da jedna škola koristi prostore u prijepodnevnoj, a druga u poslijepodnevnoj smjeni. Svaki tjedan škole se po smjenama izmjenjuju. Nastava je organizirana kroz petodnevni radni tjedan sa slobodnim subotama. 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Radi poboljšanja kvalitete nastave u školi se provodi kabinetska nastava tako da svaki nastavnik može razvijati i unapređivati svoj radni prostor (učionicu). Danas se u svakoj učionici nalazi računalo s pristupom na internet i spojeno na projektor. 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Škola u svom sastavu ima školsku radionicu i nekoliko dobro opremljenih specijaliziranih učionica za nastavu strojarske struke. U školskim radionicama se izvodi praktična nastava i vježbe za veći broj zanimanja iz područja strojarstva, a na raspolaganju su radionice za ručnu obradu materijala, strojnu obradu (tokarenje, glodanje), CNC radionica, strojarske instalacije, zavarivanje i automehaniku.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Specifičnosti škole su dobro opremljeni laboratorijski prostori za nastavu strojarske struke kao što su CNC praktikum, praktikum za crtanje pomoću računala, praktikum za industrijsku automatizaciju i robotiku, praktikum za autotehniku.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Nastava se odvija u oblicima: redovna, izborna i dodatna nastava, a izvodi se prema nastavnom planu i programu koje je donijelo Ministarstvo znanosti, obrazovanja i mladih Republike Hrvatske, prema Godišnjem planu i programu te školskom kurikulumu za školsku godinu 2026./2027.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U školskoj godini 2026./2027. školu pohađa 452 učenika u 24 razredna odjela. 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tbl>
            <w:tblPr>
              <w:tblStyle w:val="a0"/>
              <w:tblW w:w="690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2232"/>
              <w:gridCol w:w="1366"/>
              <w:gridCol w:w="1366"/>
              <w:gridCol w:w="1366"/>
            </w:tblGrid>
            <w:tr w:rsidR="00466521"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Naziv programa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2027.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2029.</w:t>
                  </w:r>
                </w:p>
              </w:tc>
            </w:tr>
            <w:tr w:rsidR="00466521"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Razvoj odgojno-obrazovnog sustava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6.106,00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6.106,00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6.106,00</w:t>
                  </w:r>
                </w:p>
              </w:tc>
            </w:tr>
            <w:tr w:rsidR="00466521"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Financiranje srednjeg školstva prema minimalnom standardu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147.140,00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147.140,00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147.140,00</w:t>
                  </w:r>
                </w:p>
              </w:tc>
            </w:tr>
            <w:tr w:rsidR="00466521"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Financiranje školstva izvan županijskog proračuna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2.718.370,00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2.113.270,00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2.113.270,00</w:t>
                  </w:r>
                </w:p>
              </w:tc>
            </w:tr>
            <w:tr w:rsidR="00466521"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46652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Ukupno: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2.871.616,00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2.266.516,00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2.266.516,00</w:t>
                  </w:r>
                </w:p>
              </w:tc>
            </w:tr>
          </w:tbl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</w:tc>
      </w:tr>
    </w:tbl>
    <w:p w:rsidR="00466521" w:rsidRDefault="00466521">
      <w:pPr>
        <w:rPr>
          <w:sz w:val="20"/>
          <w:szCs w:val="20"/>
        </w:rPr>
      </w:pPr>
    </w:p>
    <w:p w:rsidR="00466521" w:rsidRDefault="00466521">
      <w:pPr>
        <w:rPr>
          <w:sz w:val="20"/>
          <w:szCs w:val="20"/>
        </w:rPr>
        <w:sectPr w:rsidR="00466521">
          <w:headerReference w:type="default" r:id="rId8"/>
          <w:footerReference w:type="even" r:id="rId9"/>
          <w:footerReference w:type="default" r:id="rId10"/>
          <w:pgSz w:w="11906" w:h="16838"/>
          <w:pgMar w:top="1417" w:right="1417" w:bottom="1417" w:left="1417" w:header="708" w:footer="708" w:gutter="0"/>
          <w:pgNumType w:start="1"/>
          <w:cols w:space="720"/>
        </w:sectPr>
      </w:pPr>
    </w:p>
    <w:tbl>
      <w:tblPr>
        <w:tblStyle w:val="a1"/>
        <w:tblW w:w="98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36"/>
        <w:gridCol w:w="7128"/>
      </w:tblGrid>
      <w:tr w:rsidR="00466521">
        <w:tc>
          <w:tcPr>
            <w:tcW w:w="24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66521" w:rsidRDefault="00CF1E32">
            <w:pPr>
              <w:pStyle w:val="Heading1"/>
              <w:rPr>
                <w:i w:val="0"/>
                <w:iCs w:val="0"/>
                <w:u w:val="none"/>
              </w:rPr>
            </w:pPr>
            <w:r>
              <w:rPr>
                <w:i w:val="0"/>
                <w:iCs w:val="0"/>
                <w:u w:val="none"/>
              </w:rPr>
              <w:lastRenderedPageBreak/>
              <w:t>NAZIV PROGRAMA: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CILJEVI PROGRAMA: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POVEZANOST PROGRAMA SA STRATEŠKIM DOKUMENTIMA: 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ZAKONSKA OSNOVA ZA UVOĐENJE PROGRAMA: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NAČIN I SREDSTVA ZA REALIZACIJU PROGRAMA: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POKAZATELJI USPJEŠNOSTI: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466521" w:rsidRDefault="00466521">
            <w:pPr>
              <w:rPr>
                <w:sz w:val="20"/>
                <w:szCs w:val="20"/>
              </w:rPr>
            </w:pPr>
          </w:p>
        </w:tc>
        <w:tc>
          <w:tcPr>
            <w:tcW w:w="7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RAZVOJ ODGOJNO-OBRAZOVNOG SUSTAVA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Cilj ovim Programom: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osiguravanje uvjeta za izvođenje natjecanja na propisanoj razini te njegovo obuhvaćanje sadržajima te poticanje većeg broja učenika na prijavu za natjecanja,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osiguranje školske lektire u školi te zamjena starih knjiga s novim knjigama,</w:t>
            </w: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povećanje unosa svježeg voća i povrća te smanjenje unosa hrane s visokim sadržajem masti, šećera i soli u svakodnevnoj prehrani učenika,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podizanje razine znanja o važnosti zdrave prehrane i nutritivnim vrijednostima svježeg voća i povrća,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edukacija učenika u cilju smanjenja otpada od hrane.</w:t>
            </w:r>
          </w:p>
          <w:p w:rsidR="00466521" w:rsidRDefault="00466521">
            <w:pPr>
              <w:rPr>
                <w:color w:val="4472C4"/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Plan razvoja Osječko-baranjske županije za razdoblje do 2027.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Posebni cilj 3. Razvoj i unapređenje odgojno-obrazovane i znanstveno-istraživačke djelatnosti u funkciji gospodarstva i tržišta rada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Mjera 3.1. Osiguranje kvalitetnog odgoja, obrazovanja i znanosti povezivanjem s tržištem rada i unapređenjem pristupa, metoda, programa i infrastrukture.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Zakonska osnova: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Zakon o odgoju i obrazovanju u osnovnim i srednjim školama („Narodne novine“, br. 87/08, 86/09, 92/10, 105/10, 90/11, 5/12, 16/12, 86/12, 126/12, 94/13, 152/14, 07/17, 68/18, 98/19, 64/20, 151/22, 155/23 i 156/23).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tbl>
            <w:tblPr>
              <w:tblStyle w:val="a2"/>
              <w:tblW w:w="678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1999"/>
              <w:gridCol w:w="1377"/>
              <w:gridCol w:w="1377"/>
              <w:gridCol w:w="1459"/>
            </w:tblGrid>
            <w:tr w:rsidR="00466521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2027.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2029.</w:t>
                  </w:r>
                </w:p>
              </w:tc>
            </w:tr>
            <w:tr w:rsidR="00466521">
              <w:trPr>
                <w:cantSplit/>
                <w:trHeight w:val="909"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466521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ind w:hanging="72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Organizacija i izvođenje natjecanja i smotri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1.000,00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1.000,00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1.000,00</w:t>
                  </w:r>
                </w:p>
              </w:tc>
            </w:tr>
            <w:tr w:rsidR="00466521">
              <w:trPr>
                <w:cantSplit/>
                <w:trHeight w:val="332"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466521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ind w:hanging="72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Sufinanciranje obvezne školske lektire u osnovnim i srednjim školama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460,00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460,00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460,00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466521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ind w:hanging="72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Sajam zanimanja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300,00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300,00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466521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ind w:hanging="72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Shema – voće, povrće i mlijeko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4.346,00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4.346,00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4.346,00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46652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6.106,00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6.106,00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6.106,00</w:t>
                  </w:r>
                </w:p>
              </w:tc>
            </w:tr>
          </w:tbl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tbl>
            <w:tblPr>
              <w:tblStyle w:val="a3"/>
              <w:tblW w:w="690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61"/>
              <w:gridCol w:w="1266"/>
              <w:gridCol w:w="1394"/>
              <w:gridCol w:w="1405"/>
              <w:gridCol w:w="1376"/>
            </w:tblGrid>
            <w:tr w:rsidR="00466521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Polazna</w:t>
                  </w:r>
                </w:p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3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Ciljana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vrijednost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2027.</w:t>
                  </w:r>
                </w:p>
              </w:tc>
              <w:tc>
                <w:tcPr>
                  <w:tcW w:w="1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Ciljana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vrijednost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Ciljana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vrijednost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2029.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Za aktivnost pod 1. –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povećanje broja prijavljenih učenika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3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Za aktivnost pod 2. –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povećanje broja knjiga u knjižnici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3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Za aktivnost pod 3. –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org. prijevoza na sajam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Za aktivnost pod 4. -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lastRenderedPageBreak/>
                    <w:t>korištenje voća ili mlijeka svaki tjedan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24</w:t>
                  </w:r>
                </w:p>
              </w:tc>
              <w:tc>
                <w:tcPr>
                  <w:tcW w:w="13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1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1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 xml:space="preserve">Za aktivnost pod 4. -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broj učenika koji sudjeluju u Školskoj shemi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455</w:t>
                  </w:r>
                </w:p>
              </w:tc>
              <w:tc>
                <w:tcPr>
                  <w:tcW w:w="13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452</w:t>
                  </w:r>
                </w:p>
              </w:tc>
              <w:tc>
                <w:tcPr>
                  <w:tcW w:w="1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452</w:t>
                  </w:r>
                </w:p>
              </w:tc>
              <w:tc>
                <w:tcPr>
                  <w:tcW w:w="1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452</w:t>
                  </w:r>
                </w:p>
              </w:tc>
            </w:tr>
          </w:tbl>
          <w:p w:rsidR="00466521" w:rsidRDefault="00466521">
            <w:pPr>
              <w:rPr>
                <w:sz w:val="20"/>
                <w:szCs w:val="20"/>
              </w:rPr>
            </w:pPr>
          </w:p>
        </w:tc>
      </w:tr>
    </w:tbl>
    <w:p w:rsidR="00466521" w:rsidRDefault="00466521">
      <w:pPr>
        <w:rPr>
          <w:sz w:val="20"/>
          <w:szCs w:val="20"/>
        </w:rPr>
      </w:pPr>
    </w:p>
    <w:tbl>
      <w:tblPr>
        <w:tblStyle w:val="a4"/>
        <w:tblW w:w="10065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36"/>
        <w:gridCol w:w="7381"/>
      </w:tblGrid>
      <w:tr w:rsidR="00466521">
        <w:tc>
          <w:tcPr>
            <w:tcW w:w="24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66521" w:rsidRDefault="00CF1E32">
            <w:pPr>
              <w:pStyle w:val="Heading1"/>
              <w:rPr>
                <w:i w:val="0"/>
                <w:iCs w:val="0"/>
                <w:u w:val="none"/>
              </w:rPr>
            </w:pPr>
            <w:r>
              <w:rPr>
                <w:i w:val="0"/>
                <w:iCs w:val="0"/>
                <w:u w:val="none"/>
              </w:rPr>
              <w:lastRenderedPageBreak/>
              <w:t>NAZIV PROGRAMA: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PROGRAMA, OPĆI I POSEBNI CILJEVI: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POVEZANOST PROGRAMA SA STRATEŠKIM DOKUMENTIMA: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ZAKONSKA OSNOVA ZA UVOĐENJE PROGRAMA: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NAČIN I SREDSTVA ZA REALIZACIJU PROGRAMA: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POKAZATELJI USPJEŠNOSTI: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466521" w:rsidRDefault="00466521">
            <w:pPr>
              <w:rPr>
                <w:sz w:val="20"/>
                <w:szCs w:val="20"/>
              </w:rPr>
            </w:pPr>
          </w:p>
        </w:tc>
        <w:tc>
          <w:tcPr>
            <w:tcW w:w="7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FINANCIRANJE SREDNJEG ŠKOLSTVA PREMA MINIMALNOM STANDARDU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Cilj aktivnosti ovim Programom je osiguranje uvjeta za izvođenje obveznog programa na propisanoj razini te njegovo obuhvaćanje sadržajima po mjeri djece. Prioritet programa je kvalitetno obrazovanje i odgoj učenika koji se postiže permanentnim usavršavanjem nastavnika, ravnatelja i drugih zaposlenika.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Osnovni cilj je trajna i ujednačena kvaliteta komuniciranja i razmjena podataka između škole i Županije te daljnja razrada kriterija i mjerila decentraliziranog financiranja radi postizanja što racionalnijeg i ekonomičnijeg financiranja škole.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Stvaranje što kvalitetnijih uvjeta za rad škole vodeći brigu o ravnomjernom razvoju škole kroz poboljšanje postojećih prostora i opremanje istih za omogućavanje izvođenja suvremene nastave.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Plan razvoja Osječko-baranjske županije za razdoblje do 2027.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Posebni cilj 3. Razvoj i unapređenje odgojno-obrazovane i znanstveno-istraživačke djelatnosti u funkciji gospodarstva i tržišta rada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Mjera 3.1. Osiguranje kvalitetnog odgoja, obrazovanja i znanosti povezivanjem s tržištem rada i unapređenjem pristupa, metoda, programa i infrastrukture.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Zakonska osnova: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Zakon o odgoju i obrazovanju u osnovnim i srednjim školama („Narodne novine“, br. 87/08, 86/09, 92/10, 105/10, 90/11, 5/12, 16/12, 86/12, 126/12, 94/13, 152/14, 07/17, 68/18, 98/19, 64/20, 151/22, 155/23 i 156/23),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Uredba o načinu financiranja decentraliziranih funkcija te izračuna iznosa pomoći izravnanja za decentralizirane funkcije jedinica lokalne i područne (regionalne) samouprave za 2026. godinu („Narodne novine“, br. 13/26),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Odluka o kriterijima i mjerilima za utvrđivanje bilančnih prava za financiranje minimalnog financijskog standarda javnih potreba srednjih škola i učeničkih domova u 2026. godini („Narodne novine“, br. 13/26).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tbl>
            <w:tblPr>
              <w:tblStyle w:val="a5"/>
              <w:tblW w:w="678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1999"/>
              <w:gridCol w:w="1377"/>
              <w:gridCol w:w="1377"/>
              <w:gridCol w:w="1459"/>
            </w:tblGrid>
            <w:tr w:rsidR="00466521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2027.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2029.</w:t>
                  </w:r>
                </w:p>
              </w:tc>
            </w:tr>
            <w:tr w:rsidR="00466521">
              <w:trPr>
                <w:cantSplit/>
                <w:trHeight w:val="909"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466521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ind w:hanging="72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Izgradnja, rekonstrukcija i opremanje objekata srednjeg školstva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2.000,00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2.000,00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2.000,00</w:t>
                  </w:r>
                </w:p>
              </w:tc>
            </w:tr>
            <w:tr w:rsidR="00466521">
              <w:trPr>
                <w:cantSplit/>
                <w:trHeight w:val="332"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466521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ind w:hanging="72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Financiranje općih troškova srednjeg školstva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37.600,00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37.600,00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37.600,00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466521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ind w:hanging="72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Financiranje stvarnih troškova srednjeg školstva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107.540,00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107.540,00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107.540,00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46652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147.140,00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147.140,00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147.140,00</w:t>
                  </w:r>
                </w:p>
              </w:tc>
            </w:tr>
          </w:tbl>
          <w:p w:rsidR="00466521" w:rsidRDefault="00466521">
            <w:pPr>
              <w:rPr>
                <w:sz w:val="20"/>
                <w:szCs w:val="20"/>
              </w:rPr>
            </w:pPr>
          </w:p>
          <w:tbl>
            <w:tblPr>
              <w:tblStyle w:val="a6"/>
              <w:tblW w:w="690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61"/>
              <w:gridCol w:w="1266"/>
              <w:gridCol w:w="1394"/>
              <w:gridCol w:w="1405"/>
              <w:gridCol w:w="1376"/>
            </w:tblGrid>
            <w:tr w:rsidR="00466521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Polazna</w:t>
                  </w:r>
                </w:p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3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Ciljana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vrijednost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2027.</w:t>
                  </w:r>
                </w:p>
              </w:tc>
              <w:tc>
                <w:tcPr>
                  <w:tcW w:w="1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Ciljana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vrijednost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Ciljana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vrijednost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2029.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Za aktivnost pod 5. –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ostvarenje plana za opremanje škole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Za aktivnost pod 6. –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povećanje stručnog usavršavanja nastavnika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3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 xml:space="preserve">Za aktivnost pod 6. i 7.  – </w:t>
                  </w:r>
                </w:p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održavanja škole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</w:t>
                  </w:r>
                </w:p>
              </w:tc>
            </w:tr>
          </w:tbl>
          <w:p w:rsidR="00466521" w:rsidRDefault="00466521">
            <w:pPr>
              <w:rPr>
                <w:sz w:val="20"/>
                <w:szCs w:val="20"/>
              </w:rPr>
            </w:pPr>
          </w:p>
        </w:tc>
      </w:tr>
    </w:tbl>
    <w:p w:rsidR="00466521" w:rsidRDefault="00466521">
      <w:pPr>
        <w:rPr>
          <w:sz w:val="20"/>
          <w:szCs w:val="2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CF1E3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  <w:r>
        <w:rPr>
          <w:color w:val="000000"/>
        </w:rPr>
        <w:t>Škola donosi operativne planove (Godišnji plan i program rada za školsku godinu 2026./2027. i Školski kurikulum prema planu i programu koje je donijelo Ministarstvo znanosti</w:t>
      </w:r>
      <w:r w:rsidR="00BC4C9E">
        <w:rPr>
          <w:color w:val="000000"/>
        </w:rPr>
        <w:t xml:space="preserve">, </w:t>
      </w:r>
      <w:r>
        <w:rPr>
          <w:color w:val="000000"/>
        </w:rPr>
        <w:t>obrazovanja</w:t>
      </w:r>
      <w:r w:rsidR="006D1134">
        <w:rPr>
          <w:color w:val="000000"/>
        </w:rPr>
        <w:t xml:space="preserve"> i mladih</w:t>
      </w:r>
      <w:r>
        <w:rPr>
          <w:color w:val="000000"/>
        </w:rPr>
        <w:t>. Strateške planove donose Ministarstvo znanosti, obrazovanja i mladih i Županija kao osnivač srednjih škola (razvojne strategije). Vertikalna usklađivanja ciljeva i programa Ministarstva znanosti, obrazovanja i mladih odnosno Županije s ciljevima i programima je provedena u dodirnim točkama.</w:t>
      </w:r>
    </w:p>
    <w:p w:rsidR="00466521" w:rsidRDefault="00CF1E3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  <w:r>
        <w:rPr>
          <w:color w:val="000000"/>
        </w:rPr>
        <w:t xml:space="preserve">Nastavni planovi se odnose na nastavnu godinu, a ne za fiskalnu. To je uzrok mnogim odstupanjima u izvršenju financijskih planova, na primjer, pomak određenih aktivnosti unutar školske godine iz jednog polugodišta u drugo uzrokuje promjene u izvršenju financijskog plana za dvije fiskalne godine. </w:t>
      </w:r>
    </w:p>
    <w:p w:rsidR="00466521" w:rsidRDefault="00CF1E3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  <w:r>
        <w:rPr>
          <w:color w:val="000000"/>
        </w:rPr>
        <w:t xml:space="preserve">Ciljevi provedbe programa u trogodišnjem razdoblju i pokazatelji uspješnosti kojima će se mjeriti ostvarenje tih ciljeva u trogodišnjem periodu su pružanje kvalitetne usluge srednjeg obrazovanja i odgoja učenika kroz podizanje kvalitete nastave, usavršavanjem nastavnika, podizanjem materijalnih i drugih uvjeta prema našim mogućnostima, na viši pedagoški standard. </w:t>
      </w:r>
    </w:p>
    <w:p w:rsidR="00466521" w:rsidRDefault="00CF1E3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  <w:r>
        <w:rPr>
          <w:color w:val="000000"/>
        </w:rPr>
        <w:t xml:space="preserve">Učenike će se poticati na izražavanje kreativnosti, talenata i sposobnosti kroz uključivanje u slobodne aktivnosti, natjecanja, projekte, priredbe i smotre. </w:t>
      </w:r>
    </w:p>
    <w:p w:rsidR="00466521" w:rsidRDefault="00CF1E3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  <w:r>
        <w:rPr>
          <w:color w:val="000000"/>
        </w:rPr>
        <w:t>Učenike će se poticati na uključivanje u dodatnu nastavu te sudjelovanje na različitima natjecanjima od školske do državne razine.</w:t>
      </w:r>
    </w:p>
    <w:p w:rsidR="00466521" w:rsidRDefault="00CF1E3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  <w:r>
        <w:rPr>
          <w:color w:val="000000"/>
        </w:rPr>
        <w:t>Pokazatelji uspješnosti su vidljivi i mjerljivi kroz realizaciju razvojnog plana, realizaciju školskog kurikuluma.</w:t>
      </w:r>
    </w:p>
    <w:p w:rsidR="00466521" w:rsidRDefault="00CF1E3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  <w:r>
        <w:rPr>
          <w:color w:val="000000"/>
        </w:rPr>
        <w:t>Poticat će se razvoj pozitivnih vrijednosti kroz provođenje građanskog odgoja i obrazovanja, program škole bez nasilja, škole prijateljstva i međusobnog uvažavanja i tolerancije.</w:t>
      </w:r>
    </w:p>
    <w:p w:rsidR="00466521" w:rsidRDefault="00CF1E3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  <w:r>
        <w:rPr>
          <w:color w:val="000000"/>
        </w:rPr>
        <w:t>Slobodne aktivnosti bit</w:t>
      </w:r>
      <w:r w:rsidR="0005014A">
        <w:rPr>
          <w:color w:val="000000"/>
        </w:rPr>
        <w:t>i</w:t>
      </w:r>
      <w:r>
        <w:rPr>
          <w:color w:val="000000"/>
        </w:rPr>
        <w:t xml:space="preserve"> će organizirane u </w:t>
      </w:r>
      <w:r w:rsidR="0005014A">
        <w:rPr>
          <w:color w:val="000000"/>
        </w:rPr>
        <w:t>vrijeme kada</w:t>
      </w:r>
      <w:r>
        <w:rPr>
          <w:color w:val="000000"/>
        </w:rPr>
        <w:t xml:space="preserve"> će učenici moći sudjelovati. Ostvarenje planiranih aktivnosti prezentirat će se na javnim manifestacijama, web stranici škole, školskom facebook</w:t>
      </w:r>
      <w:r w:rsidR="0005014A">
        <w:rPr>
          <w:color w:val="000000"/>
        </w:rPr>
        <w:t xml:space="preserve"> profilu</w:t>
      </w:r>
      <w:r>
        <w:rPr>
          <w:color w:val="000000"/>
        </w:rPr>
        <w:t xml:space="preserve">, Danu škole i slično. </w:t>
      </w:r>
    </w:p>
    <w:p w:rsidR="00466521" w:rsidRDefault="00CF1E3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  <w:r>
        <w:rPr>
          <w:color w:val="000000"/>
        </w:rPr>
        <w:t xml:space="preserve">Nastavnici, ravnatelj i administrativno osoblje će tijekom školske godine sudjelovati na stručnim skupovima, seminarima i edukacijama kako bi se unaprijedio rad </w:t>
      </w:r>
      <w:r w:rsidR="0005014A">
        <w:rPr>
          <w:color w:val="000000"/>
        </w:rPr>
        <w:t>Š</w:t>
      </w:r>
      <w:r>
        <w:rPr>
          <w:color w:val="000000"/>
        </w:rPr>
        <w:t>kole.</w:t>
      </w: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tbl>
      <w:tblPr>
        <w:tblStyle w:val="a7"/>
        <w:tblW w:w="98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36"/>
        <w:gridCol w:w="7128"/>
      </w:tblGrid>
      <w:tr w:rsidR="00466521">
        <w:tc>
          <w:tcPr>
            <w:tcW w:w="24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66521" w:rsidRDefault="00CF1E32">
            <w:pPr>
              <w:pStyle w:val="Heading1"/>
              <w:rPr>
                <w:i w:val="0"/>
                <w:iCs w:val="0"/>
                <w:u w:val="none"/>
              </w:rPr>
            </w:pPr>
            <w:r>
              <w:rPr>
                <w:i w:val="0"/>
                <w:iCs w:val="0"/>
                <w:u w:val="none"/>
              </w:rPr>
              <w:lastRenderedPageBreak/>
              <w:t>NAZIV PROGRAMA: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PROGRAMA, OPĆI I POSEBNI CILJEVI: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POVEZANOST PROGRAMA SA STRATEŠKIM DOKUMENTIMA: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ZAKONSKA OSNOVA ZA UVOĐENJE PROGRAMA: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NAČIN I SREDSTVA ZA REALIZACIJU PROGRAMA: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POKAZATELJI USPJEŠNOSTI: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466521" w:rsidRDefault="00466521">
            <w:pPr>
              <w:rPr>
                <w:sz w:val="20"/>
                <w:szCs w:val="20"/>
              </w:rPr>
            </w:pPr>
          </w:p>
        </w:tc>
        <w:tc>
          <w:tcPr>
            <w:tcW w:w="7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FINANCIRANJE ŠKOLSTVA IZVAN ŽUPANIJSKOG PRORAČUNA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Ciljevi: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osigurati kvalitetno nastavno osoblje kroz sudjelovanje na stručnim edukacijama, seminarima, projektima i izvannastavnim aktivnostima,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poticati ih na daljnji razvoj te unapređivanje nastave.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Plan razvoja Osječko-baranjske županije za razdoblje do 2027.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Posebni cilj 3. Razvoj i unapređenje odgojno-obrazovane i znanstveno-istraživačke djelatnosti u funkciji gospodarstva i tržišta rada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Mjera 3.1. Osiguranje kvalitetnog odgoja, obrazovanja i znanosti povezivanjem s tržištem rada i unapređenjem pristupa, metoda, programa i infrastrukture.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Zakonska osnova: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Zakon o odgoju i obrazovanju u osnovnim i srednjim školama („Narodne novine“, br. 87/08, 86/09, 92/10, 105/10, 90/11, 5/12, 16/12, 86/12, 126/12, 94/13, 152/14, 07/17, 68/18, 98/19, 64/20, 151/22, 155/23 i 156/23),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Zakon o ustanovama („Narodne novine“, br. 76/93, 29/97, 47/99, 35/08,  127/19 i 151/22),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Godišnji plan i program rada Škole za školsku 2026./2027.</w:t>
            </w:r>
            <w:r w:rsidR="00C37F89">
              <w:rPr>
                <w:i/>
                <w:iCs/>
                <w:sz w:val="20"/>
                <w:szCs w:val="20"/>
              </w:rPr>
              <w:t xml:space="preserve"> godinu</w:t>
            </w:r>
            <w:r>
              <w:rPr>
                <w:i/>
                <w:iCs/>
                <w:sz w:val="20"/>
                <w:szCs w:val="20"/>
              </w:rPr>
              <w:t>,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Kurikulum Škole za školsku 2026./2027. godinu.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tbl>
            <w:tblPr>
              <w:tblStyle w:val="a8"/>
              <w:tblW w:w="678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1999"/>
              <w:gridCol w:w="1377"/>
              <w:gridCol w:w="1377"/>
              <w:gridCol w:w="1459"/>
            </w:tblGrid>
            <w:tr w:rsidR="00466521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2027.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2029.</w:t>
                  </w:r>
                </w:p>
              </w:tc>
            </w:tr>
            <w:tr w:rsidR="00466521">
              <w:trPr>
                <w:cantSplit/>
                <w:trHeight w:val="909"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466521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ind w:hanging="72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Vlastiti</w:t>
                  </w:r>
                  <w:r w:rsidR="00864351">
                    <w:rPr>
                      <w:sz w:val="20"/>
                      <w:szCs w:val="20"/>
                    </w:rPr>
                    <w:t xml:space="preserve"> prihodi 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372.000,00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170.000,00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170.000,00</w:t>
                  </w:r>
                </w:p>
              </w:tc>
            </w:tr>
            <w:tr w:rsidR="00466521">
              <w:trPr>
                <w:cantSplit/>
                <w:trHeight w:val="332"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466521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ind w:hanging="72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Pomoći iz državnog proračuna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1.942.170,00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1.942.170,00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1.942.170,00</w:t>
                  </w:r>
                </w:p>
              </w:tc>
            </w:tr>
            <w:tr w:rsidR="00466521">
              <w:trPr>
                <w:cantSplit/>
                <w:trHeight w:val="332"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466521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ind w:hanging="72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Programi Unije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55.885,00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466521">
              <w:trPr>
                <w:cantSplit/>
                <w:trHeight w:val="332"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466521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ind w:hanging="72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Europski socijalni fond plus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347.215,00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466521">
              <w:trPr>
                <w:cantSplit/>
                <w:trHeight w:val="332"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466521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ind w:hanging="72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Donacije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1.100,00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1.100,00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1.100,00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46652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2.718.370,00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2.113.270,00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2.113.270,00</w:t>
                  </w:r>
                </w:p>
              </w:tc>
            </w:tr>
          </w:tbl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tbl>
            <w:tblPr>
              <w:tblStyle w:val="a9"/>
              <w:tblW w:w="6902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94"/>
              <w:gridCol w:w="1213"/>
              <w:gridCol w:w="1300"/>
              <w:gridCol w:w="1309"/>
              <w:gridCol w:w="1286"/>
            </w:tblGrid>
            <w:tr w:rsidR="00466521">
              <w:trPr>
                <w:cantSplit/>
                <w:jc w:val="center"/>
              </w:trPr>
              <w:tc>
                <w:tcPr>
                  <w:tcW w:w="1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Polazna</w:t>
                  </w:r>
                </w:p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Ciljana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vrijednost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2027.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Ciljana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vrijednost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Ciljana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vrijednost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2029.</w:t>
                  </w:r>
                </w:p>
              </w:tc>
            </w:tr>
            <w:tr w:rsidR="00466521">
              <w:trPr>
                <w:cantSplit/>
                <w:jc w:val="center"/>
              </w:trPr>
              <w:tc>
                <w:tcPr>
                  <w:tcW w:w="1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Za aktivnost pod 8. –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broj upisanih polaznika u Obrazovanje odraslih</w:t>
                  </w: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</w:p>
              </w:tc>
              <w:tc>
                <w:tcPr>
                  <w:tcW w:w="1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</w:p>
              </w:tc>
            </w:tr>
            <w:tr w:rsidR="00466521">
              <w:trPr>
                <w:cantSplit/>
                <w:jc w:val="center"/>
              </w:trPr>
              <w:tc>
                <w:tcPr>
                  <w:tcW w:w="1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Za aktivnost pod 9. –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broj edukacija nastavnika i stručnih suradnika</w:t>
                  </w: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</w:t>
                  </w:r>
                </w:p>
              </w:tc>
            </w:tr>
            <w:tr w:rsidR="00466521">
              <w:trPr>
                <w:cantSplit/>
                <w:jc w:val="center"/>
              </w:trPr>
              <w:tc>
                <w:tcPr>
                  <w:tcW w:w="1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Za aktivnost pod 9. –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broj projekata koje škola provodi</w:t>
                  </w: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466521">
              <w:trPr>
                <w:cantSplit/>
                <w:jc w:val="center"/>
              </w:trPr>
              <w:tc>
                <w:tcPr>
                  <w:tcW w:w="1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Za aktivnost pod 9. –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 xml:space="preserve"> broj nastavnika/stručnih suradnika uključenih u različite projekte</w:t>
                  </w: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59</w:t>
                  </w:r>
                </w:p>
              </w:tc>
              <w:tc>
                <w:tcPr>
                  <w:tcW w:w="1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59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59</w:t>
                  </w:r>
                </w:p>
              </w:tc>
              <w:tc>
                <w:tcPr>
                  <w:tcW w:w="1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59</w:t>
                  </w:r>
                </w:p>
              </w:tc>
            </w:tr>
            <w:tr w:rsidR="00466521">
              <w:trPr>
                <w:cantSplit/>
                <w:jc w:val="center"/>
              </w:trPr>
              <w:tc>
                <w:tcPr>
                  <w:tcW w:w="1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 xml:space="preserve">Za aktivnost pod 9. –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broj učenika uključenih u različite projekte</w:t>
                  </w: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455</w:t>
                  </w:r>
                </w:p>
              </w:tc>
              <w:tc>
                <w:tcPr>
                  <w:tcW w:w="1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452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452</w:t>
                  </w:r>
                </w:p>
              </w:tc>
              <w:tc>
                <w:tcPr>
                  <w:tcW w:w="1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452</w:t>
                  </w:r>
                </w:p>
              </w:tc>
            </w:tr>
            <w:tr w:rsidR="00466521">
              <w:trPr>
                <w:cantSplit/>
                <w:jc w:val="center"/>
              </w:trPr>
              <w:tc>
                <w:tcPr>
                  <w:tcW w:w="1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Za aktivnost pod 9. – </w:t>
                  </w:r>
                </w:p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osiguranje plaće i materijalna prava za zaposlenike Škole</w:t>
                  </w: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67</w:t>
                  </w:r>
                </w:p>
              </w:tc>
              <w:tc>
                <w:tcPr>
                  <w:tcW w:w="1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1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68</w:t>
                  </w:r>
                </w:p>
              </w:tc>
            </w:tr>
            <w:tr w:rsidR="00466521">
              <w:trPr>
                <w:cantSplit/>
                <w:jc w:val="center"/>
              </w:trPr>
              <w:tc>
                <w:tcPr>
                  <w:tcW w:w="1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Za aktivnost pod 10. –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broj učenika uključenih u projekt</w:t>
                  </w: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466521">
              <w:trPr>
                <w:cantSplit/>
                <w:jc w:val="center"/>
              </w:trPr>
              <w:tc>
                <w:tcPr>
                  <w:tcW w:w="1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Za aktivnost pod 11. –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broj nastavnika uključenih u projekt</w:t>
                  </w: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466521">
              <w:trPr>
                <w:cantSplit/>
                <w:jc w:val="center"/>
              </w:trPr>
              <w:tc>
                <w:tcPr>
                  <w:tcW w:w="1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Za aktivnost pod 12. – broj donacija</w:t>
                  </w: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</w:tr>
          </w:tbl>
          <w:p w:rsidR="00466521" w:rsidRDefault="00466521">
            <w:pPr>
              <w:rPr>
                <w:sz w:val="20"/>
                <w:szCs w:val="20"/>
              </w:rPr>
            </w:pPr>
          </w:p>
        </w:tc>
      </w:tr>
    </w:tbl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CF1E3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  <w:r>
        <w:rPr>
          <w:color w:val="000000"/>
        </w:rPr>
        <w:t>Erasmus+ projekt:</w:t>
      </w:r>
    </w:p>
    <w:p w:rsidR="00466521" w:rsidRDefault="00CF1E32" w:rsidP="00D468E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t xml:space="preserve">Projekt </w:t>
      </w:r>
      <w:r>
        <w:rPr>
          <w:color w:val="000000"/>
          <w:u w:val="single"/>
        </w:rPr>
        <w:t>"Nove vještine za bolju budućnost 5"</w:t>
      </w:r>
      <w:r>
        <w:rPr>
          <w:color w:val="000000"/>
        </w:rPr>
        <w:t xml:space="preserve"> je Erasmus projekt iz programa KA1 u području strukovnog obrazovanja i osposobljavanja učenika. Vrijednost projekta je 55.885,00 EUR-a.</w:t>
      </w:r>
    </w:p>
    <w:p w:rsidR="00466521" w:rsidRDefault="004665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</w:p>
    <w:p w:rsidR="00466521" w:rsidRPr="00D468E0" w:rsidRDefault="00CF1E32" w:rsidP="00D468E0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leftChars="0" w:right="140" w:firstLineChars="0"/>
        <w:rPr>
          <w:color w:val="000000"/>
        </w:rPr>
      </w:pPr>
      <w:r w:rsidRPr="00D468E0">
        <w:rPr>
          <w:color w:val="000000"/>
        </w:rPr>
        <w:t>Europski socijalni fond plus:</w:t>
      </w:r>
    </w:p>
    <w:p w:rsidR="00466521" w:rsidRDefault="00CF1E32" w:rsidP="00D468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left="720" w:right="140"/>
        <w:rPr>
          <w:color w:val="000000"/>
        </w:rPr>
      </w:pPr>
      <w:r>
        <w:rPr>
          <w:color w:val="000000"/>
        </w:rPr>
        <w:t>Projekt „MACHINA FUTURA“ je projektni prijedlog poslan na natječaj Ministarstva znanosti, obrazovanja i mladih. Cilj projekta je povećanje kvalitete strukovnog obrazovanja u skladu s potrebama tržišta rada te stjecanje kompetencija potrebnih za daljnji razvoj, obrazovanje i aktivno sudjelovanje u društvu i svijetu rada. Projekt je namijenjen ustanovama strukovnog obrazovanja za razvoj i provedbu suvremenih kurikula, modernizaciju i unapređenje kvalitete nastavnog procesa te poboljšanje uvjeta za učenje temeljeno na radu. Ukupna vrijednost projektnog prijedloga iznosi 347.215,00 EUR.</w:t>
      </w: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  <w:sectPr w:rsidR="00466521">
          <w:pgSz w:w="11906" w:h="16838"/>
          <w:pgMar w:top="1417" w:right="1417" w:bottom="1417" w:left="1417" w:header="708" w:footer="708" w:gutter="0"/>
          <w:cols w:space="720"/>
        </w:sectPr>
      </w:pPr>
    </w:p>
    <w:tbl>
      <w:tblPr>
        <w:tblStyle w:val="aa"/>
        <w:tblW w:w="98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36"/>
        <w:gridCol w:w="7128"/>
      </w:tblGrid>
      <w:tr w:rsidR="00466521">
        <w:trPr>
          <w:trHeight w:val="12030"/>
        </w:trPr>
        <w:tc>
          <w:tcPr>
            <w:tcW w:w="24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KORISNIK: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PRORAČUNSKA KLASIFIKACIJA: 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FINANCIJSKI  PLAN ZA 2027. - 2029. GODINU: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OBRAZLOŽENJE FINANCIJSKOG PLANA: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PRORAČUNSKA KLASIFIKACIJA: 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FINANCIJSKI  PLAN ZA 2027. - 2029. GODINU: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14"/>
                <w:szCs w:val="14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OBRAZLOŽENJE FINANCIJSKOG PLANA: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PRORAČUNSKA KLASIFIKACIJA: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OBRAZLOŽENJE FINANCIJSKOG PLANA: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85593F" w:rsidRDefault="0085593F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PRORAČUNSKA KLASIFIKACIJA: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OBRAZLOŽENJE FINANCIJSKOG PLANA:</w:t>
            </w:r>
          </w:p>
          <w:p w:rsidR="00466521" w:rsidRDefault="00466521">
            <w:pPr>
              <w:pStyle w:val="Heading1"/>
              <w:rPr>
                <w:i w:val="0"/>
                <w:iCs w:val="0"/>
                <w:u w:val="none"/>
              </w:rPr>
            </w:pPr>
          </w:p>
          <w:p w:rsidR="00466521" w:rsidRDefault="00466521">
            <w:pPr>
              <w:pStyle w:val="Heading1"/>
              <w:rPr>
                <w:i w:val="0"/>
                <w:iCs w:val="0"/>
                <w:u w:val="none"/>
              </w:rPr>
            </w:pPr>
          </w:p>
          <w:p w:rsidR="00466521" w:rsidRDefault="00466521">
            <w:pPr>
              <w:pStyle w:val="Heading1"/>
              <w:rPr>
                <w:i w:val="0"/>
                <w:iCs w:val="0"/>
                <w:u w:val="none"/>
              </w:rPr>
            </w:pPr>
          </w:p>
          <w:p w:rsidR="00466521" w:rsidRDefault="00466521">
            <w:pPr>
              <w:pStyle w:val="Heading1"/>
              <w:rPr>
                <w:i w:val="0"/>
                <w:iCs w:val="0"/>
                <w:u w:val="none"/>
              </w:rPr>
            </w:pPr>
          </w:p>
          <w:p w:rsidR="00466521" w:rsidRDefault="00466521">
            <w:pPr>
              <w:pStyle w:val="Heading1"/>
              <w:rPr>
                <w:i w:val="0"/>
                <w:iCs w:val="0"/>
                <w:u w:val="none"/>
              </w:rPr>
            </w:pPr>
          </w:p>
          <w:p w:rsidR="00466521" w:rsidRDefault="00466521">
            <w:pPr>
              <w:pStyle w:val="Heading1"/>
              <w:rPr>
                <w:i w:val="0"/>
                <w:iCs w:val="0"/>
                <w:u w:val="none"/>
              </w:rPr>
            </w:pPr>
          </w:p>
          <w:p w:rsidR="00466521" w:rsidRDefault="00466521">
            <w:pPr>
              <w:pStyle w:val="Heading1"/>
              <w:rPr>
                <w:i w:val="0"/>
                <w:iCs w:val="0"/>
                <w:u w:val="none"/>
              </w:rPr>
            </w:pPr>
          </w:p>
          <w:p w:rsidR="00466521" w:rsidRDefault="00466521">
            <w:pPr>
              <w:pStyle w:val="Heading1"/>
              <w:rPr>
                <w:i w:val="0"/>
                <w:iCs w:val="0"/>
                <w:u w:val="none"/>
              </w:rPr>
            </w:pPr>
          </w:p>
          <w:p w:rsidR="00466521" w:rsidRDefault="00466521">
            <w:pPr>
              <w:pStyle w:val="Heading1"/>
              <w:rPr>
                <w:i w:val="0"/>
                <w:iCs w:val="0"/>
                <w:u w:val="none"/>
              </w:rPr>
            </w:pPr>
          </w:p>
          <w:p w:rsidR="00466521" w:rsidRDefault="00466521">
            <w:pPr>
              <w:pStyle w:val="Heading1"/>
              <w:rPr>
                <w:i w:val="0"/>
                <w:iCs w:val="0"/>
                <w:u w:val="none"/>
              </w:rPr>
            </w:pPr>
          </w:p>
          <w:p w:rsidR="00466521" w:rsidRDefault="00466521"/>
          <w:p w:rsidR="00466521" w:rsidRDefault="00466521"/>
          <w:p w:rsidR="00466521" w:rsidRDefault="00466521"/>
          <w:p w:rsidR="00466521" w:rsidRDefault="00466521"/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PRORAČUNSKA KLASIFIKACIJA: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OBRAZLOŽENJE FINANCIJSKOG PLANA:</w:t>
            </w:r>
          </w:p>
          <w:p w:rsidR="00466521" w:rsidRDefault="00466521"/>
          <w:p w:rsidR="00466521" w:rsidRDefault="00466521"/>
          <w:p w:rsidR="00466521" w:rsidRDefault="00466521"/>
          <w:p w:rsidR="00466521" w:rsidRDefault="00466521"/>
          <w:p w:rsidR="00466521" w:rsidRDefault="00466521"/>
          <w:p w:rsidR="00466521" w:rsidRDefault="00466521"/>
          <w:p w:rsidR="00466521" w:rsidRDefault="00CF1E32">
            <w:pPr>
              <w:pStyle w:val="Heading1"/>
              <w:rPr>
                <w:i w:val="0"/>
                <w:iCs w:val="0"/>
                <w:u w:val="none"/>
              </w:rPr>
            </w:pPr>
            <w:r>
              <w:rPr>
                <w:i w:val="0"/>
                <w:iCs w:val="0"/>
                <w:u w:val="none"/>
              </w:rPr>
              <w:t>NAZIV: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PRORAČUNSKA KLASIFIKACIJA: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OBRAZLOŽENJE FINANCIJSKOG PLANA: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PRORAČUNSKA KLASIFIKACIJA: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OBRAZLOŽENJE FINANCIJSKOG PLANA: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pStyle w:val="Heading1"/>
              <w:rPr>
                <w:i w:val="0"/>
                <w:iCs w:val="0"/>
                <w:u w:val="none"/>
              </w:rPr>
            </w:pPr>
          </w:p>
          <w:p w:rsidR="00466521" w:rsidRDefault="00466521">
            <w:pPr>
              <w:pStyle w:val="Heading1"/>
              <w:rPr>
                <w:i w:val="0"/>
                <w:iCs w:val="0"/>
                <w:u w:val="none"/>
              </w:rPr>
            </w:pPr>
          </w:p>
          <w:p w:rsidR="00466521" w:rsidRDefault="00466521"/>
          <w:p w:rsidR="00466521" w:rsidRDefault="00466521"/>
          <w:p w:rsidR="00466521" w:rsidRDefault="00466521"/>
          <w:p w:rsidR="00466521" w:rsidRDefault="00CF1E32">
            <w:pPr>
              <w:pStyle w:val="Heading1"/>
              <w:rPr>
                <w:i w:val="0"/>
                <w:iCs w:val="0"/>
                <w:u w:val="none"/>
              </w:rPr>
            </w:pPr>
            <w:r>
              <w:rPr>
                <w:i w:val="0"/>
                <w:iCs w:val="0"/>
                <w:u w:val="none"/>
              </w:rPr>
              <w:lastRenderedPageBreak/>
              <w:t>NAZIV: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PROGRAMA, OPĆI I POSEBNI CILJEVI: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POVEZANOST PROGRAMA SA STRATEŠKIM DOKUMENTIMA: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ZAKONSKA OSNOVA ZA UVOĐENJE PROGRAMA: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NAČIN I SREDSTVA ZA REALIZACIJU PROGRAMA: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OBRAZLOŽENJE FINANCIJSKOG PLANA: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CF1E3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POKAZATELJI USPJEŠNOSTI:</w:t>
            </w: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  <w:p w:rsidR="00466521" w:rsidRDefault="0046652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466521" w:rsidRDefault="00466521">
            <w:pPr>
              <w:rPr>
                <w:sz w:val="20"/>
                <w:szCs w:val="20"/>
              </w:rPr>
            </w:pPr>
          </w:p>
        </w:tc>
        <w:tc>
          <w:tcPr>
            <w:tcW w:w="7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STROJARSKA TEHNIČKA ŠKOLA OSIJEK</w:t>
            </w:r>
          </w:p>
          <w:p w:rsidR="00466521" w:rsidRDefault="00466521">
            <w:pPr>
              <w:rPr>
                <w:sz w:val="20"/>
                <w:szCs w:val="20"/>
                <w:u w:val="single"/>
              </w:rPr>
            </w:pPr>
          </w:p>
          <w:p w:rsidR="00466521" w:rsidRDefault="00CF1E32">
            <w:pPr>
              <w:rPr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Izvještaj o prihodima prema ekonomskoj klasifikaciji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tbl>
            <w:tblPr>
              <w:tblStyle w:val="ab"/>
              <w:tblW w:w="658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69"/>
              <w:gridCol w:w="1266"/>
              <w:gridCol w:w="1266"/>
              <w:gridCol w:w="1579"/>
            </w:tblGrid>
            <w:tr w:rsidR="00466521">
              <w:trPr>
                <w:cantSplit/>
              </w:trPr>
              <w:tc>
                <w:tcPr>
                  <w:tcW w:w="24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2027.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5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2029.</w:t>
                  </w:r>
                </w:p>
              </w:tc>
            </w:tr>
            <w:tr w:rsidR="00466521">
              <w:trPr>
                <w:cantSplit/>
                <w:trHeight w:val="332"/>
              </w:trPr>
              <w:tc>
                <w:tcPr>
                  <w:tcW w:w="24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tabs>
                      <w:tab w:val="left" w:pos="0"/>
                    </w:tabs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Prihodi poslovanja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2.624.908,00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2.266.516,00</w:t>
                  </w:r>
                </w:p>
              </w:tc>
              <w:tc>
                <w:tcPr>
                  <w:tcW w:w="15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2.266.516,00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24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Prihodi od prodaje nefinancijske imovine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5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</w:tbl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Prihodi poslovanja za 2027. godinu planirani su u iznosu od 2.624.908,00 </w:t>
            </w:r>
            <w:r w:rsidR="00586F80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. Najznačajnija kategorija prihoda poslovanja su zapravo prihodi iz državnog proračuna gdje </w:t>
            </w:r>
            <w:r w:rsidR="005126AA">
              <w:rPr>
                <w:sz w:val="20"/>
                <w:szCs w:val="20"/>
              </w:rPr>
              <w:t>š</w:t>
            </w:r>
            <w:r>
              <w:rPr>
                <w:sz w:val="20"/>
                <w:szCs w:val="20"/>
              </w:rPr>
              <w:t>kola dobiva sredstva za plaće i ostala materijalna prava radnika koja proizlaze iz Kolektivnog ugovora i isplaćuju se u zadanim iznosima. Sredstva za plaće i doprinose poslodavca planirana su u okvirima iznosa tekuće godine, a ostala materijala prava prema iznosima za jubilarne nagrade, otpremnine, uskrnic</w:t>
            </w:r>
            <w:r w:rsidR="005126AA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>, regres, dar za djecu, božićnic</w:t>
            </w:r>
            <w:r w:rsidR="005126AA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 xml:space="preserve"> i slično za sljedeću godinu.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Prihodi iz nadležnog proračuna su sredstva koj</w:t>
            </w:r>
            <w:r w:rsidR="005126AA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je osnivač planirao za </w:t>
            </w:r>
            <w:r w:rsidR="005126AA">
              <w:rPr>
                <w:sz w:val="20"/>
                <w:szCs w:val="20"/>
              </w:rPr>
              <w:t>š</w:t>
            </w:r>
            <w:r>
              <w:rPr>
                <w:sz w:val="20"/>
                <w:szCs w:val="20"/>
              </w:rPr>
              <w:t>kolu u 2027. godini, a to su aktivnosti/projekti financiranje srednjeg školstva prema minimalnom standardu, školska shema, sufinanciranje obvezne školske lektire i slično.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Prihodi od prodaje proizvedene dugotrajne imovine nisu planirani za 2027. godinu.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Izvještaj o rashodima prema ekonomskoj klasifikaciji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tbl>
            <w:tblPr>
              <w:tblStyle w:val="ac"/>
              <w:tblW w:w="658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65"/>
              <w:gridCol w:w="1266"/>
              <w:gridCol w:w="1266"/>
              <w:gridCol w:w="1583"/>
            </w:tblGrid>
            <w:tr w:rsidR="00466521">
              <w:trPr>
                <w:cantSplit/>
              </w:trPr>
              <w:tc>
                <w:tcPr>
                  <w:tcW w:w="24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2027.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2029.</w:t>
                  </w:r>
                </w:p>
              </w:tc>
            </w:tr>
            <w:tr w:rsidR="00466521">
              <w:trPr>
                <w:cantSplit/>
                <w:trHeight w:val="332"/>
              </w:trPr>
              <w:tc>
                <w:tcPr>
                  <w:tcW w:w="24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tabs>
                      <w:tab w:val="left" w:pos="0"/>
                    </w:tabs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Rashodi poslovanja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2.629.506,00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2.208.706,00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2.208.706,00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24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Rashodi za nabavu nefinancijske imovine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242.110,00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57.810,00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57.810,00</w:t>
                  </w:r>
                </w:p>
              </w:tc>
            </w:tr>
          </w:tbl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8"/>
                <w:szCs w:val="8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 rashode u 2027. godini je planirano više nego što</w:t>
            </w:r>
            <w:r w:rsidR="008046FC">
              <w:rPr>
                <w:sz w:val="20"/>
                <w:szCs w:val="20"/>
              </w:rPr>
              <w:t xml:space="preserve"> </w:t>
            </w:r>
            <w:r w:rsidR="002D55A0">
              <w:rPr>
                <w:sz w:val="20"/>
                <w:szCs w:val="20"/>
              </w:rPr>
              <w:t xml:space="preserve">iznose </w:t>
            </w:r>
            <w:r>
              <w:rPr>
                <w:sz w:val="20"/>
                <w:szCs w:val="20"/>
              </w:rPr>
              <w:t>prihod</w:t>
            </w:r>
            <w:r w:rsidR="002D55A0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, jer su to sredstva koja su uplaćena za projekt Erasmus+ i vlastita sredstva koja su </w:t>
            </w:r>
            <w:r w:rsidR="00797B1C">
              <w:rPr>
                <w:sz w:val="20"/>
                <w:szCs w:val="20"/>
              </w:rPr>
              <w:t xml:space="preserve">ostala nepotrošena </w:t>
            </w:r>
            <w:r>
              <w:rPr>
                <w:sz w:val="20"/>
                <w:szCs w:val="20"/>
              </w:rPr>
              <w:t>od</w:t>
            </w:r>
            <w:r w:rsidR="00797B1C">
              <w:rPr>
                <w:sz w:val="20"/>
                <w:szCs w:val="20"/>
              </w:rPr>
              <w:t xml:space="preserve"> programa</w:t>
            </w:r>
            <w:r>
              <w:rPr>
                <w:sz w:val="20"/>
                <w:szCs w:val="20"/>
              </w:rPr>
              <w:t xml:space="preserve"> obrazovanja odraslih te se planiraju potrošiti u 2027. godini. Također, planirana su i sredstva iz projekta ESF+ u iznosu od 347.215,00 EUR. Najznačajniji utjecaj kod rashoda imaju rashodi za zaposlene i materijalni rashodi. Rashodi za zaposlene koristit će se za plaće, materijalna prava, ostale rashode za zaposlene i doprinos</w:t>
            </w:r>
            <w:r w:rsidR="003524E1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za obvezno zdravstveno osiguranje. 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Izvještaj o prihodima i rashodima prema izvorima financiranja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Prihodi prema izvorima financiranja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Prihodi prema izvorima financiranja planirani su iznosu od 2.624.908,00 </w:t>
            </w:r>
            <w:r w:rsidR="0073301B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. 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Opći prihodi i primici prema izvoru financiranja 11 planirani su iznosu od 10.510,00 </w:t>
            </w:r>
            <w:r w:rsidR="00486CAD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>. Iznosi su planirani iz županijskog proračuna za sufinanciranje obvezne školske lektire i financiranje stvarnih troškova srednjeg školstva.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Vlastiti prihodi</w:t>
            </w:r>
            <w:r w:rsidR="00486CA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prema izvoru financiranja 31</w:t>
            </w:r>
            <w:r w:rsidR="00486CA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planirani su u iznosu od 170.000,00 </w:t>
            </w:r>
            <w:r w:rsidR="00486CAD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. Navedeni iznos su upravo sredstva namijenjena za obrazovanje odraslih i funkcioniranje </w:t>
            </w:r>
            <w:r w:rsidR="00486CAD">
              <w:rPr>
                <w:sz w:val="20"/>
                <w:szCs w:val="20"/>
              </w:rPr>
              <w:t>Š</w:t>
            </w:r>
            <w:r>
              <w:rPr>
                <w:sz w:val="20"/>
                <w:szCs w:val="20"/>
              </w:rPr>
              <w:t xml:space="preserve">kole. 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Ostali prihodi za posebne namjene</w:t>
            </w:r>
            <w:r w:rsidR="00486CAD">
              <w:rPr>
                <w:sz w:val="20"/>
                <w:szCs w:val="20"/>
              </w:rPr>
              <w:t>, prema izvoru financiranja</w:t>
            </w:r>
            <w:r>
              <w:rPr>
                <w:sz w:val="20"/>
                <w:szCs w:val="20"/>
              </w:rPr>
              <w:t xml:space="preserve"> 43</w:t>
            </w:r>
            <w:r w:rsidR="00486CA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planirani su iznosu od 138.390,00 </w:t>
            </w:r>
            <w:r w:rsidR="00486CAD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>. Razlog tome su planirana sredstva od strane Županije.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Pomoći</w:t>
            </w:r>
            <w:r w:rsidR="00486CA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prema izvoru financiranja 50, 51, 54 i 56</w:t>
            </w:r>
            <w:r w:rsidR="00486CA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="00486CAD">
              <w:rPr>
                <w:sz w:val="20"/>
                <w:szCs w:val="20"/>
              </w:rPr>
              <w:t>planirani</w:t>
            </w:r>
            <w:r>
              <w:rPr>
                <w:sz w:val="20"/>
                <w:szCs w:val="20"/>
              </w:rPr>
              <w:t xml:space="preserve"> su u iznosu od 2.304.908,00 </w:t>
            </w:r>
            <w:r w:rsidR="00486CAD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. Najznačajaniji prihodi planirani su upravo za plaće i materijalna prava zaposlenika, dok je na EAGF 54 planirano 3.846,00 </w:t>
            </w:r>
            <w:r w:rsidR="00486CAD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 za projekt Školska </w:t>
            </w:r>
            <w:r>
              <w:rPr>
                <w:sz w:val="20"/>
                <w:szCs w:val="20"/>
              </w:rPr>
              <w:lastRenderedPageBreak/>
              <w:t>shema. Za projekt MACHINA FUTURA iz ESF+ poslan je projektni prijedlog u vrijednosti od 347.215,00 EUR.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Donacije</w:t>
            </w:r>
            <w:r w:rsidR="00486CA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prema izvoru financiranja 61</w:t>
            </w:r>
            <w:r w:rsidR="00486CA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planirane su u iznosu od 1.100,00 </w:t>
            </w:r>
            <w:r w:rsidR="00486CAD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. 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Rashodi prema izvoru financiranja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Rashodi prema izvorima financiranja planirani su u iznosu od 2.871.616,00 </w:t>
            </w:r>
            <w:r w:rsidR="00AD0044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 u 2027. godini. 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Opći prihodi i primici</w:t>
            </w:r>
            <w:r w:rsidR="00AD004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prema izvoru financiranja 11</w:t>
            </w:r>
            <w:r w:rsidR="00AD004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planirani su u iznosu od 10.510,00 </w:t>
            </w:r>
            <w:r w:rsidR="00AD0044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>. Rashodi su planirani za potrošnju iz županijskog proračuna kako je navedeno u tablicama.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Vlastiti prihodi</w:t>
            </w:r>
            <w:r w:rsidR="00AD004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prema izvoru financiranja 31</w:t>
            </w:r>
            <w:r w:rsidR="001874B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planirani su u iznosu od 372.000,00 </w:t>
            </w:r>
            <w:r w:rsidR="001874B9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. Navedeni rashodi su namijenjeni za obrazovanje odraslih i funkcioniranje </w:t>
            </w:r>
            <w:r w:rsidR="009F26D9">
              <w:rPr>
                <w:sz w:val="20"/>
                <w:szCs w:val="20"/>
              </w:rPr>
              <w:t>Š</w:t>
            </w:r>
            <w:r>
              <w:rPr>
                <w:sz w:val="20"/>
                <w:szCs w:val="20"/>
              </w:rPr>
              <w:t>kole.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Ostali prihodi za posebne namjene</w:t>
            </w:r>
            <w:r w:rsidR="009F26D9">
              <w:rPr>
                <w:sz w:val="20"/>
                <w:szCs w:val="20"/>
              </w:rPr>
              <w:t>, prema izvoru financiranja</w:t>
            </w:r>
            <w:r>
              <w:rPr>
                <w:sz w:val="20"/>
                <w:szCs w:val="20"/>
              </w:rPr>
              <w:t xml:space="preserve"> 43</w:t>
            </w:r>
            <w:r w:rsidR="009F26D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planirani su u iznosu od 138.390,00 </w:t>
            </w:r>
            <w:r w:rsidR="009F26D9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. Navedeni iznos je planiran za potrošnju u skladu s dodijeljenim </w:t>
            </w:r>
            <w:r w:rsidR="009F26D9">
              <w:rPr>
                <w:sz w:val="20"/>
                <w:szCs w:val="20"/>
              </w:rPr>
              <w:t>sredstvima</w:t>
            </w:r>
            <w:r>
              <w:rPr>
                <w:sz w:val="20"/>
                <w:szCs w:val="20"/>
              </w:rPr>
              <w:t xml:space="preserve"> od strane osnivača odnosno Županije. 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Pomoći</w:t>
            </w:r>
            <w:r w:rsidR="009F26D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prema izvoru financiranja 50, 51, 54 i 56</w:t>
            </w:r>
            <w:r w:rsidR="009F26D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planirani su u iznosu od 2.349.616,00 </w:t>
            </w:r>
            <w:r w:rsidR="009F26D9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. Značajan utjecaj u ostvarenom iznosu očituje se kroz plaće i materijalna prava zaposlenika. Također, planirani su i rashodi za projekt Školska shema u iznosu od 3.846,00 </w:t>
            </w:r>
            <w:r w:rsidR="009F26D9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 </w:t>
            </w:r>
            <w:r w:rsidR="009F26D9">
              <w:rPr>
                <w:sz w:val="20"/>
                <w:szCs w:val="20"/>
              </w:rPr>
              <w:t>te za</w:t>
            </w:r>
            <w:r>
              <w:rPr>
                <w:sz w:val="20"/>
                <w:szCs w:val="20"/>
              </w:rPr>
              <w:t xml:space="preserve"> projekt MACHINA FUTURA u iznosu od 347.215,00 EUR.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Izvještaj o rashodima prema funkcijskoj klasifikaciji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12"/>
                <w:szCs w:val="12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Rashodi prema funkcijskoj klasifikaciji planirani su u iznosu od 2.871.616,00 </w:t>
            </w:r>
            <w:r w:rsidR="009F26D9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 u 2027. godini. Rashodi se odnose na plaće, materijalna prava, sufinanciranje obvezne lektire, Školsku shemu i financiranje srednjeg školstva prema minimalnom standardu. Primjećujemo da su rashodi veći jer su preneseni viškovi koji se planiraju potrošiti u 2027. godini. Navedena sredstva su namijenjena za obrazovanje odraslih i funkcioniranje </w:t>
            </w:r>
            <w:r w:rsidR="009F26D9">
              <w:rPr>
                <w:sz w:val="20"/>
                <w:szCs w:val="20"/>
              </w:rPr>
              <w:t>Š</w:t>
            </w:r>
            <w:r>
              <w:rPr>
                <w:sz w:val="20"/>
                <w:szCs w:val="20"/>
              </w:rPr>
              <w:t xml:space="preserve">kole. 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RAČUN FINANCIRANJA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Izvještaj računa financiranja prema ekonomskoj klasifikaciji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Strojarska tehnička škola Osijek nema planiranih primitaka od financ</w:t>
            </w:r>
            <w:r w:rsidR="005E4AB5">
              <w:rPr>
                <w:sz w:val="20"/>
                <w:szCs w:val="20"/>
              </w:rPr>
              <w:t xml:space="preserve">ijske imovine i zaduživanja </w:t>
            </w:r>
            <w:r>
              <w:rPr>
                <w:sz w:val="20"/>
                <w:szCs w:val="20"/>
              </w:rPr>
              <w:t xml:space="preserve">kao </w:t>
            </w:r>
            <w:r w:rsidR="005E4AB5">
              <w:rPr>
                <w:sz w:val="20"/>
                <w:szCs w:val="20"/>
              </w:rPr>
              <w:t>ni izdataka</w:t>
            </w:r>
            <w:r>
              <w:rPr>
                <w:sz w:val="20"/>
                <w:szCs w:val="20"/>
              </w:rPr>
              <w:t>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Izvještaj računa financiranja prema izvorima financiranja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Strojarska tehnička škola Osijek nema planiranih namjenskih primitaka od </w:t>
            </w:r>
            <w:r w:rsidR="005E4AB5">
              <w:rPr>
                <w:sz w:val="20"/>
                <w:szCs w:val="20"/>
              </w:rPr>
              <w:t xml:space="preserve">financijske imovine i </w:t>
            </w:r>
            <w:r>
              <w:rPr>
                <w:sz w:val="20"/>
                <w:szCs w:val="20"/>
              </w:rPr>
              <w:t xml:space="preserve">zaduživanja kao </w:t>
            </w:r>
            <w:r w:rsidR="005E4AB5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i namjen</w:t>
            </w:r>
            <w:r w:rsidR="005E4AB5">
              <w:rPr>
                <w:sz w:val="20"/>
                <w:szCs w:val="20"/>
              </w:rPr>
              <w:t>skih izdataka</w:t>
            </w:r>
            <w:r>
              <w:rPr>
                <w:sz w:val="20"/>
                <w:szCs w:val="20"/>
              </w:rPr>
              <w:t>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VIŠAK PRIHODA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14"/>
                <w:szCs w:val="14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Ciljevi: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doprinijeti razvoju srednjoškolskog obrazovanja kroz jačanje prostornog kapaciteta Škole s najmodernijom tehničkom opremom i novim namještajem prim</w:t>
            </w:r>
            <w:r w:rsidR="00D31DFC">
              <w:rPr>
                <w:i/>
                <w:iCs/>
                <w:sz w:val="20"/>
                <w:szCs w:val="20"/>
              </w:rPr>
              <w:t>jereno</w:t>
            </w:r>
            <w:r>
              <w:rPr>
                <w:i/>
                <w:iCs/>
                <w:sz w:val="20"/>
                <w:szCs w:val="20"/>
              </w:rPr>
              <w:t xml:space="preserve"> sadržaju po mjeri djece,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povećanje stručnog usavršavanja učenika i nastavnika kroz projekte,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povećanje kvalitete rada praktične nastave za učenike najmodernijom tehnologijom, 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povećanje kvalitete rada nastavnika i profesora u obrazovnom procesu,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unapređenje poslovanja Škole kupnjom najmodernije tehnologije za rad administrativnog osoblja Škole i povećanje njihove produktivnosti rada.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Plan razvoja Osječko-baranjske županije za razdoblje do 2027.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Posebni cilj 3. Razvoj i unapređenje odgojno-obrazovane i znanstveno-istraživačke djelatnosti u funkciji gospodarstva i tržišta rada</w:t>
            </w: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Mjera 3.1. Osiguranje kvalitetnog odgoja, obrazovanja i znanosti povezivanjem s tržištem rada i unapređenje pristupa, metoda, programa i infrastrukture.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Zakonska osnova: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Zakon o odgoju i obrazovanju u osnovnim i srednjim školama („Narodne novine“, br. 87/08, 86/09, 92/10, 105/10, 90/11, 5/12, 16/12, 86/12, 126/12, 94/13, 152/14, 07/17, 68/18, 98/19, 64/20, 151/22, 155/23 i 156/23),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Godišnji plan i program rada Škole za školsku 2026./2027.</w:t>
            </w:r>
            <w:r w:rsidR="00FB0B26">
              <w:rPr>
                <w:i/>
                <w:iCs/>
                <w:sz w:val="20"/>
                <w:szCs w:val="20"/>
              </w:rPr>
              <w:t xml:space="preserve"> godinu</w:t>
            </w:r>
            <w:r>
              <w:rPr>
                <w:i/>
                <w:iCs/>
                <w:sz w:val="20"/>
                <w:szCs w:val="20"/>
              </w:rPr>
              <w:t>,</w:t>
            </w:r>
          </w:p>
          <w:p w:rsidR="00466521" w:rsidRDefault="00CF1E3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Kurikulum Škole za školsku 2026./2027. godinu.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tbl>
            <w:tblPr>
              <w:tblStyle w:val="ad"/>
              <w:tblW w:w="678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1999"/>
              <w:gridCol w:w="1377"/>
              <w:gridCol w:w="1377"/>
              <w:gridCol w:w="1459"/>
            </w:tblGrid>
            <w:tr w:rsidR="00466521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2027.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2029.</w:t>
                  </w:r>
                </w:p>
              </w:tc>
            </w:tr>
            <w:tr w:rsidR="00466521">
              <w:trPr>
                <w:cantSplit/>
                <w:trHeight w:val="909"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466521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ind w:hanging="72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Stručno usavršavanje učenika i nastavnika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44.708,00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466521">
              <w:trPr>
                <w:cantSplit/>
                <w:trHeight w:val="332"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466521">
                  <w:pPr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ind w:hanging="72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Opremanje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202.000,00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466521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46652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246.708,00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0,00</w:t>
                  </w:r>
                </w:p>
              </w:tc>
            </w:tr>
          </w:tbl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466521">
            <w:pPr>
              <w:rPr>
                <w:sz w:val="20"/>
                <w:szCs w:val="20"/>
              </w:rPr>
            </w:pPr>
          </w:p>
          <w:p w:rsidR="00466521" w:rsidRDefault="00CF1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Višak prihoda je planiran u iznosu </w:t>
            </w:r>
            <w:r w:rsidR="00F80754">
              <w:rPr>
                <w:sz w:val="20"/>
                <w:szCs w:val="20"/>
              </w:rPr>
              <w:t xml:space="preserve">od </w:t>
            </w:r>
            <w:r>
              <w:rPr>
                <w:sz w:val="20"/>
                <w:szCs w:val="20"/>
              </w:rPr>
              <w:t xml:space="preserve">246.708,00 </w:t>
            </w:r>
            <w:r w:rsidR="00F80754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 u 2027. godini. Višak prihoda iz 2026. godine je prenesen </w:t>
            </w:r>
            <w:r w:rsidR="00F80754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 xml:space="preserve"> 2027. godinu i planira se potrošiti na materijal, stručna usavršavanja zaposlenik</w:t>
            </w:r>
            <w:r w:rsidR="00F8075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, uređaje, strojeve i opremu koj</w:t>
            </w:r>
            <w:r w:rsidR="00F80754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 su Školi potrebn</w:t>
            </w:r>
            <w:r w:rsidR="00F80754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 radi unapređenja nastavnog procesa. </w:t>
            </w:r>
          </w:p>
          <w:p w:rsidR="00466521" w:rsidRDefault="00466521">
            <w:pPr>
              <w:rPr>
                <w:sz w:val="20"/>
                <w:szCs w:val="20"/>
              </w:rPr>
            </w:pPr>
          </w:p>
          <w:tbl>
            <w:tblPr>
              <w:tblStyle w:val="ae"/>
              <w:tblW w:w="6902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72"/>
              <w:gridCol w:w="1248"/>
              <w:gridCol w:w="1363"/>
              <w:gridCol w:w="1373"/>
              <w:gridCol w:w="1346"/>
            </w:tblGrid>
            <w:tr w:rsidR="00466521">
              <w:trPr>
                <w:cantSplit/>
                <w:jc w:val="center"/>
              </w:trPr>
              <w:tc>
                <w:tcPr>
                  <w:tcW w:w="1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Polazna</w:t>
                  </w:r>
                </w:p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Ciljana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vrijednost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2027.</w:t>
                  </w:r>
                </w:p>
              </w:tc>
              <w:tc>
                <w:tcPr>
                  <w:tcW w:w="13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Ciljana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vrijednost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3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Ciljana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vrijednost</w:t>
                  </w:r>
                </w:p>
                <w:p w:rsidR="00466521" w:rsidRDefault="00CF1E32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2029.</w:t>
                  </w:r>
                </w:p>
              </w:tc>
            </w:tr>
            <w:tr w:rsidR="00466521">
              <w:trPr>
                <w:cantSplit/>
                <w:jc w:val="center"/>
              </w:trPr>
              <w:tc>
                <w:tcPr>
                  <w:tcW w:w="1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Za aktivnost pod 13. – </w:t>
                  </w:r>
                </w:p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stručno usavršavanje učenika i nastavnika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1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13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466521">
              <w:trPr>
                <w:cantSplit/>
                <w:jc w:val="center"/>
              </w:trPr>
              <w:tc>
                <w:tcPr>
                  <w:tcW w:w="1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Za aktivnost pod 14. – </w:t>
                  </w:r>
                </w:p>
                <w:p w:rsidR="00466521" w:rsidRDefault="00CF1E3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opremanje Škole uredskom opremom i namještajem, uređajima i strojevima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3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521" w:rsidRDefault="00CF1E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</w:tbl>
          <w:p w:rsidR="00466521" w:rsidRDefault="00466521">
            <w:pPr>
              <w:rPr>
                <w:sz w:val="20"/>
                <w:szCs w:val="20"/>
              </w:rPr>
            </w:pPr>
          </w:p>
        </w:tc>
      </w:tr>
    </w:tbl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:rsidR="00466521" w:rsidRDefault="00CF1E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lastRenderedPageBreak/>
        <w:t>Zakonske i druge osnove koje nisu navedene u programima su:</w:t>
      </w:r>
    </w:p>
    <w:p w:rsidR="00466521" w:rsidRDefault="00CF1E3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t>Zakon o proračunu („Narodne novine“, br. 144/21),</w:t>
      </w:r>
    </w:p>
    <w:p w:rsidR="00466521" w:rsidRDefault="00CF1E3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t>Pravilnik o proračunskim klasifikacijama („Narodne novine“, br. 4/24),</w:t>
      </w:r>
    </w:p>
    <w:p w:rsidR="00466521" w:rsidRDefault="00CF1E3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t>Pravilnik o proračunskom računovodstvu i računskom planu („Narodne novine“, br. 158/23),</w:t>
      </w:r>
    </w:p>
    <w:p w:rsidR="00466521" w:rsidRDefault="00CF1E3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t>Upute za izradu Proračuna Osječko-baranjske županije za razdoblje 2027.-2029. godine, KLASA: 400-06/26-01/6, URBROJ: 2158-10/04-26-12 od 06.10.2026.</w:t>
      </w:r>
    </w:p>
    <w:p w:rsidR="00466521" w:rsidRDefault="004665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left="720" w:right="140"/>
        <w:rPr>
          <w:color w:val="000000"/>
        </w:rPr>
      </w:pPr>
    </w:p>
    <w:p w:rsidR="00466521" w:rsidRDefault="00CF1E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left="720" w:right="140"/>
        <w:rPr>
          <w:color w:val="000000"/>
        </w:rPr>
      </w:pPr>
      <w:r>
        <w:rPr>
          <w:b/>
          <w:bCs/>
          <w:color w:val="000000"/>
        </w:rPr>
        <w:t>POKAZATELJI USPJEŠNOSTI PROVOĐENJA PROGRAMA</w:t>
      </w:r>
    </w:p>
    <w:p w:rsidR="00466521" w:rsidRDefault="004665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left="720" w:right="140"/>
        <w:rPr>
          <w:color w:val="000000"/>
        </w:rPr>
      </w:pPr>
    </w:p>
    <w:p w:rsidR="00466521" w:rsidRDefault="00CF1E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left="720" w:right="140"/>
        <w:rPr>
          <w:color w:val="000000"/>
        </w:rPr>
      </w:pPr>
      <w:r>
        <w:rPr>
          <w:color w:val="000000"/>
        </w:rPr>
        <w:t xml:space="preserve">Osnovni pokazatelji uspješnosti provođenja programa u </w:t>
      </w:r>
      <w:r w:rsidR="00F80754">
        <w:rPr>
          <w:color w:val="000000"/>
        </w:rPr>
        <w:t>Š</w:t>
      </w:r>
      <w:r>
        <w:rPr>
          <w:color w:val="000000"/>
        </w:rPr>
        <w:t>koli su:</w:t>
      </w:r>
    </w:p>
    <w:p w:rsidR="00466521" w:rsidRDefault="00CF1E3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t>rezultati koje učenici postižu na natjecanjima i smotrama od županijske preko regionalne do državne razine;</w:t>
      </w:r>
    </w:p>
    <w:p w:rsidR="00466521" w:rsidRDefault="00CF1E3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t>redovito stručno usavršavanje nastavnika na seminarima, stručnim skupovima i drugim oblicima nadogradnje kompetencija;</w:t>
      </w:r>
    </w:p>
    <w:p w:rsidR="00466521" w:rsidRDefault="00CF1E3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t xml:space="preserve">broj učenika koji završavaju </w:t>
      </w:r>
      <w:r w:rsidR="00F80754">
        <w:rPr>
          <w:color w:val="000000"/>
        </w:rPr>
        <w:t>Š</w:t>
      </w:r>
      <w:r>
        <w:rPr>
          <w:color w:val="000000"/>
        </w:rPr>
        <w:t>kolu u odnosu na ukupan broj upisanih učenika;</w:t>
      </w:r>
    </w:p>
    <w:p w:rsidR="00466521" w:rsidRDefault="00CF1E3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t>rezultati učenika na ispitima državne mature;</w:t>
      </w:r>
    </w:p>
    <w:p w:rsidR="00466521" w:rsidRDefault="00CF1E3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t>broj učenika upisanih na fakultete i stručne studije;</w:t>
      </w:r>
    </w:p>
    <w:p w:rsidR="00466521" w:rsidRDefault="00CF1E3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t xml:space="preserve">praćenje uspješnosti učenika koji završavaju </w:t>
      </w:r>
      <w:r w:rsidR="00F80754">
        <w:rPr>
          <w:color w:val="000000"/>
        </w:rPr>
        <w:t>Š</w:t>
      </w:r>
      <w:r>
        <w:rPr>
          <w:color w:val="000000"/>
        </w:rPr>
        <w:t>kolu i pokušavaju se snaći na tržištu rada (povratna informacija iz gospodarstva);</w:t>
      </w:r>
    </w:p>
    <w:p w:rsidR="00466521" w:rsidRDefault="00CF1E3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t>provođenje projekata financiranih sredstvima EU ili iz vlastitih izvora.</w:t>
      </w:r>
    </w:p>
    <w:p w:rsidR="00466521" w:rsidRDefault="004665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left="720" w:right="140"/>
        <w:rPr>
          <w:color w:val="000000"/>
        </w:rPr>
      </w:pPr>
    </w:p>
    <w:p w:rsidR="00466521" w:rsidRDefault="004665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</w:p>
    <w:p w:rsidR="00466521" w:rsidRDefault="00325A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t>U Osijeku, 21</w:t>
      </w:r>
      <w:bookmarkStart w:id="0" w:name="_GoBack"/>
      <w:bookmarkEnd w:id="0"/>
      <w:r w:rsidR="00CF1E32">
        <w:rPr>
          <w:color w:val="000000"/>
        </w:rPr>
        <w:t>.10.2026.</w:t>
      </w:r>
    </w:p>
    <w:p w:rsidR="00466521" w:rsidRDefault="004665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</w:p>
    <w:p w:rsidR="00466521" w:rsidRDefault="004665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</w:p>
    <w:p w:rsidR="00466521" w:rsidRDefault="00CF1E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b/>
          <w:bCs/>
          <w:color w:val="000000"/>
        </w:rPr>
        <w:t xml:space="preserve"> Voditeljica računovodstva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 xml:space="preserve">           Ravnatelj</w:t>
      </w:r>
    </w:p>
    <w:p w:rsidR="00466521" w:rsidRDefault="004665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left="720" w:right="140"/>
        <w:rPr>
          <w:color w:val="000000"/>
        </w:rPr>
      </w:pPr>
    </w:p>
    <w:p w:rsidR="00466521" w:rsidRDefault="004665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left="720" w:right="140"/>
        <w:rPr>
          <w:color w:val="000000"/>
        </w:rPr>
      </w:pPr>
    </w:p>
    <w:p w:rsidR="00466521" w:rsidRDefault="00CF1E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left="720" w:right="14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466521" w:rsidRDefault="00CF1E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9"/>
        </w:tabs>
        <w:ind w:right="140"/>
        <w:rPr>
          <w:color w:val="000000"/>
        </w:rPr>
      </w:pPr>
      <w:r>
        <w:rPr>
          <w:color w:val="000000"/>
        </w:rPr>
        <w:t xml:space="preserve">  Marta Koprivnjak, mag.oec.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85593F">
        <w:rPr>
          <w:color w:val="000000"/>
        </w:rPr>
        <w:t xml:space="preserve">             </w:t>
      </w:r>
      <w:r>
        <w:rPr>
          <w:color w:val="000000"/>
        </w:rPr>
        <w:t xml:space="preserve">    Ivan Adrić, dipl.ing.</w:t>
      </w:r>
    </w:p>
    <w:p w:rsidR="00466521" w:rsidRDefault="0046652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sectPr w:rsidR="00466521">
      <w:headerReference w:type="default" r:id="rId11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28C" w:rsidRDefault="000C728C">
      <w:r>
        <w:separator/>
      </w:r>
    </w:p>
  </w:endnote>
  <w:endnote w:type="continuationSeparator" w:id="0">
    <w:p w:rsidR="000C728C" w:rsidRDefault="000C7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D89267D0-BD66-4AC5-B0CD-FB246F2E7AA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140C5BB-6B03-44B0-8598-AE627CBF845C}"/>
    <w:embedBold r:id="rId3" w:fontKey="{983A4619-F35E-41C8-8F9B-DA7F5FD6610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DB7AC497-1F14-45FF-AB7F-F408FC4487C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114042B8-FA12-4760-B7C1-03971983C36D}"/>
    <w:embedBold r:id="rId6" w:fontKey="{4937D5AD-0749-48DC-B8E2-9E023A209BB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F9B3D443-903B-41AC-94E6-014949E3AA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F1B22C6-7FED-4AE4-9397-FB11D23167E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AB5" w:rsidRDefault="005E4A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5E4AB5" w:rsidRDefault="005E4A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AB5" w:rsidRDefault="005E4A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  <w:p w:rsidR="005E4AB5" w:rsidRDefault="005E4A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28C" w:rsidRDefault="000C728C">
      <w:r>
        <w:separator/>
      </w:r>
    </w:p>
  </w:footnote>
  <w:footnote w:type="continuationSeparator" w:id="0">
    <w:p w:rsidR="000C728C" w:rsidRDefault="000C7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AB5" w:rsidRDefault="005E4A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left"/>
      <w:rPr>
        <w:color w:val="000000"/>
      </w:rPr>
    </w:pPr>
    <w:r>
      <w:rPr>
        <w:i/>
        <w:iCs/>
        <w:color w:val="000000"/>
      </w:rPr>
      <w:t>Obrazloženje posebnog dijela Prijedloga financijskog plana Strojarske tehničke škole Osijek za 2027. godinu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AB5" w:rsidRDefault="005E4A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left"/>
      <w:rPr>
        <w:color w:val="000000"/>
      </w:rPr>
    </w:pPr>
    <w:r>
      <w:rPr>
        <w:i/>
        <w:iCs/>
        <w:color w:val="000000"/>
      </w:rPr>
      <w:t>Obrazloženje općeg dijela Prijedloga financijskog plana Strojarske tehničke škole Osijek za 2027. godinu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33768"/>
    <w:multiLevelType w:val="multilevel"/>
    <w:tmpl w:val="A00C89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F2944BF"/>
    <w:multiLevelType w:val="multilevel"/>
    <w:tmpl w:val="355ED6DE"/>
    <w:lvl w:ilvl="0">
      <w:start w:val="1"/>
      <w:numFmt w:val="decimal"/>
      <w:lvlText w:val="%1."/>
      <w:lvlJc w:val="left"/>
      <w:pPr>
        <w:ind w:left="64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6DE6B51"/>
    <w:multiLevelType w:val="multilevel"/>
    <w:tmpl w:val="9372F5B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FAC03A5"/>
    <w:multiLevelType w:val="hybridMultilevel"/>
    <w:tmpl w:val="DA7A21F6"/>
    <w:lvl w:ilvl="0" w:tplc="2E3E5E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773F5"/>
    <w:multiLevelType w:val="multilevel"/>
    <w:tmpl w:val="912845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521"/>
    <w:rsid w:val="0005014A"/>
    <w:rsid w:val="00092F20"/>
    <w:rsid w:val="000C728C"/>
    <w:rsid w:val="00142621"/>
    <w:rsid w:val="001515C8"/>
    <w:rsid w:val="001874B9"/>
    <w:rsid w:val="002D55A0"/>
    <w:rsid w:val="00325AD0"/>
    <w:rsid w:val="003524E1"/>
    <w:rsid w:val="00466521"/>
    <w:rsid w:val="00486CAD"/>
    <w:rsid w:val="004B390B"/>
    <w:rsid w:val="005126AA"/>
    <w:rsid w:val="00586F80"/>
    <w:rsid w:val="005E4AB5"/>
    <w:rsid w:val="00683B9F"/>
    <w:rsid w:val="006C744D"/>
    <w:rsid w:val="006D1134"/>
    <w:rsid w:val="0073301B"/>
    <w:rsid w:val="007921EE"/>
    <w:rsid w:val="00797B1C"/>
    <w:rsid w:val="008046FC"/>
    <w:rsid w:val="00816F3B"/>
    <w:rsid w:val="0085593F"/>
    <w:rsid w:val="00864351"/>
    <w:rsid w:val="009F26D9"/>
    <w:rsid w:val="00AD0044"/>
    <w:rsid w:val="00BC4C9E"/>
    <w:rsid w:val="00C37F89"/>
    <w:rsid w:val="00CF1E32"/>
    <w:rsid w:val="00D31DFC"/>
    <w:rsid w:val="00D40683"/>
    <w:rsid w:val="00D468E0"/>
    <w:rsid w:val="00F80754"/>
    <w:rsid w:val="00FB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:"/>
  <w14:docId w14:val="35021C88"/>
  <w15:docId w15:val="{E781E704-65ED-485A-9559-5736ACAB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  <w:iCs/>
      <w:sz w:val="20"/>
      <w:szCs w:val="20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0"/>
      <w:szCs w:val="20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left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jc w:val="left"/>
      <w:outlineLvl w:val="3"/>
    </w:pPr>
    <w:rPr>
      <w:rFonts w:ascii="Arial" w:eastAsia="Arial" w:hAnsi="Arial" w:cs="Arial"/>
      <w:b/>
      <w:bCs/>
      <w:sz w:val="16"/>
      <w:szCs w:val="1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left"/>
      <w:outlineLvl w:val="5"/>
    </w:pPr>
    <w:rPr>
      <w:b/>
      <w:bCs/>
      <w:sz w:val="16"/>
      <w:szCs w:val="16"/>
    </w:rPr>
  </w:style>
  <w:style w:type="paragraph" w:styleId="Heading7">
    <w:name w:val="heading 7"/>
    <w:basedOn w:val="Normal"/>
    <w:next w:val="Normal"/>
    <w:pPr>
      <w:keepNext/>
      <w:suppressAutoHyphens/>
      <w:ind w:leftChars="-1" w:left="-1" w:hangingChars="1" w:hanging="1"/>
      <w:jc w:val="center"/>
      <w:textDirection w:val="btLr"/>
      <w:textAlignment w:val="top"/>
      <w:outlineLvl w:val="6"/>
    </w:pPr>
    <w:rPr>
      <w:rFonts w:ascii="Arial" w:hAnsi="Arial" w:cs="Arial"/>
      <w:b/>
      <w:bCs/>
      <w:position w:val="-1"/>
      <w:sz w:val="18"/>
      <w:lang w:val="hr-HR"/>
    </w:rPr>
  </w:style>
  <w:style w:type="paragraph" w:styleId="Heading8">
    <w:name w:val="heading 8"/>
    <w:basedOn w:val="Normal"/>
    <w:next w:val="Normal"/>
    <w:pPr>
      <w:keepNext/>
      <w:suppressAutoHyphens/>
      <w:ind w:leftChars="-1" w:left="-1" w:hangingChars="1" w:hanging="1"/>
      <w:jc w:val="left"/>
      <w:textDirection w:val="btLr"/>
      <w:textAlignment w:val="top"/>
      <w:outlineLvl w:val="7"/>
    </w:pPr>
    <w:rPr>
      <w:b/>
      <w:bCs/>
      <w:position w:val="-1"/>
      <w:lang w:val="hr-HR"/>
    </w:rPr>
  </w:style>
  <w:style w:type="paragraph" w:styleId="Heading9">
    <w:name w:val="heading 9"/>
    <w:basedOn w:val="Normal"/>
    <w:next w:val="Normal"/>
    <w:pPr>
      <w:keepNext/>
      <w:suppressAutoHyphens/>
      <w:ind w:leftChars="-1" w:left="-1" w:hangingChars="1" w:hanging="1"/>
      <w:textDirection w:val="btLr"/>
      <w:textAlignment w:val="top"/>
      <w:outlineLvl w:val="8"/>
    </w:pPr>
    <w:rPr>
      <w:rFonts w:ascii="Arial" w:eastAsia="Calibri" w:hAnsi="Arial" w:cs="Arial"/>
      <w:b/>
      <w:bCs/>
      <w:position w:val="-1"/>
      <w:sz w:val="18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character" w:customStyle="1" w:styleId="Heading1Char3">
    <w:name w:val="Heading 1 Char3"/>
    <w:rPr>
      <w:i/>
      <w:iCs/>
      <w:w w:val="100"/>
      <w:position w:val="-1"/>
      <w:u w:val="single"/>
      <w:effect w:val="none"/>
      <w:vertAlign w:val="baseline"/>
      <w:cs w:val="0"/>
      <w:em w:val="none"/>
      <w:lang w:val="hr-HR" w:eastAsia="en-US" w:bidi="ar-SA"/>
    </w:rPr>
  </w:style>
  <w:style w:type="character" w:customStyle="1" w:styleId="Heading2Char">
    <w:name w:val="Heading 2 Char"/>
    <w:rPr>
      <w:b/>
      <w:bCs/>
      <w:i/>
      <w:iCs/>
      <w:w w:val="100"/>
      <w:position w:val="-1"/>
      <w:u w:val="single"/>
      <w:effect w:val="none"/>
      <w:vertAlign w:val="baseline"/>
      <w:cs w:val="0"/>
      <w:em w:val="none"/>
      <w:lang w:val="hr-HR" w:eastAsia="en-US" w:bidi="ar-SA"/>
    </w:rPr>
  </w:style>
  <w:style w:type="character" w:customStyle="1" w:styleId="Heading3Char">
    <w:name w:val="Heading 3 Char"/>
    <w:rPr>
      <w:b/>
      <w:bCs/>
      <w:w w:val="100"/>
      <w:position w:val="-1"/>
      <w:effect w:val="none"/>
      <w:vertAlign w:val="baseline"/>
      <w:cs w:val="0"/>
      <w:em w:val="none"/>
      <w:lang w:val="pl-PL" w:eastAsia="en-US" w:bidi="ar-SA"/>
    </w:rPr>
  </w:style>
  <w:style w:type="character" w:customStyle="1" w:styleId="Heading4Char">
    <w:name w:val="Heading 4 Char"/>
    <w:rPr>
      <w:rFonts w:ascii="Arial" w:eastAsia="Calibri" w:hAnsi="Arial"/>
      <w:b/>
      <w:bCs/>
      <w:w w:val="100"/>
      <w:position w:val="-1"/>
      <w:sz w:val="16"/>
      <w:effect w:val="none"/>
      <w:vertAlign w:val="baseline"/>
      <w:cs w:val="0"/>
      <w:em w:val="none"/>
      <w:lang w:val="hr-HR" w:eastAsia="hr-HR" w:bidi="ar-SA"/>
    </w:rPr>
  </w:style>
  <w:style w:type="character" w:customStyle="1" w:styleId="Heading5Char">
    <w:name w:val="Heading 5 Char"/>
    <w:rPr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val="hr-HR" w:eastAsia="en-US" w:bidi="ar-SA"/>
    </w:rPr>
  </w:style>
  <w:style w:type="character" w:customStyle="1" w:styleId="Heading6Char">
    <w:name w:val="Heading 6 Char"/>
    <w:rPr>
      <w:b/>
      <w:bCs/>
      <w:w w:val="100"/>
      <w:position w:val="-1"/>
      <w:sz w:val="16"/>
      <w:effect w:val="none"/>
      <w:vertAlign w:val="baseline"/>
      <w:cs w:val="0"/>
      <w:em w:val="none"/>
      <w:lang w:val="hr-HR" w:eastAsia="en-US" w:bidi="ar-SA"/>
    </w:rPr>
  </w:style>
  <w:style w:type="character" w:customStyle="1" w:styleId="Heading7Char1">
    <w:name w:val="Heading 7 Char1"/>
    <w:rPr>
      <w:rFonts w:ascii="Arial" w:hAnsi="Arial" w:cs="Arial"/>
      <w:b/>
      <w:bCs/>
      <w:w w:val="100"/>
      <w:position w:val="-1"/>
      <w:sz w:val="18"/>
      <w:effect w:val="none"/>
      <w:vertAlign w:val="baseline"/>
      <w:cs w:val="0"/>
      <w:em w:val="none"/>
      <w:lang w:val="hr-HR" w:eastAsia="hr-HR" w:bidi="ar-SA"/>
    </w:rPr>
  </w:style>
  <w:style w:type="character" w:customStyle="1" w:styleId="Heading8Char">
    <w:name w:val="Heading 8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val="hr-HR" w:eastAsia="hr-HR" w:bidi="ar-SA"/>
    </w:rPr>
  </w:style>
  <w:style w:type="character" w:customStyle="1" w:styleId="Heading9Char">
    <w:name w:val="Heading 9 Char"/>
    <w:rPr>
      <w:rFonts w:ascii="Arial" w:eastAsia="Calibri" w:hAnsi="Arial" w:cs="Arial"/>
      <w:b/>
      <w:bCs/>
      <w:w w:val="100"/>
      <w:position w:val="-1"/>
      <w:sz w:val="18"/>
      <w:szCs w:val="24"/>
      <w:effect w:val="none"/>
      <w:vertAlign w:val="baseline"/>
      <w:cs w:val="0"/>
      <w:em w:val="none"/>
      <w:lang w:val="hr-HR" w:eastAsia="hr-HR" w:bidi="ar-SA"/>
    </w:rPr>
  </w:style>
  <w:style w:type="paragraph" w:styleId="BodyTextIndent">
    <w:name w:val="Body Text Indent"/>
    <w:basedOn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0"/>
      <w:lang w:val="hr-HR" w:eastAsia="en-US"/>
    </w:rPr>
  </w:style>
  <w:style w:type="character" w:customStyle="1" w:styleId="BodyTextIndentChar1">
    <w:name w:val="Body Text Indent Char1"/>
    <w:rPr>
      <w:w w:val="100"/>
      <w:position w:val="-1"/>
      <w:effect w:val="none"/>
      <w:vertAlign w:val="baseline"/>
      <w:cs w:val="0"/>
      <w:em w:val="none"/>
      <w:lang w:val="hr-HR" w:eastAsia="en-US" w:bidi="ar-SA"/>
    </w:rPr>
  </w:style>
  <w:style w:type="paragraph" w:customStyle="1" w:styleId="xl52">
    <w:name w:val="xl52"/>
    <w:basedOn w:val="Normal"/>
    <w:pP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rFonts w:ascii="Arial" w:hAnsi="Arial" w:cs="Arial"/>
      <w:b/>
      <w:bCs/>
      <w:position w:val="-1"/>
      <w:sz w:val="20"/>
      <w:lang w:val="hr-HR"/>
    </w:rPr>
  </w:style>
  <w:style w:type="paragraph" w:customStyle="1" w:styleId="BodyTextuvlaka2">
    <w:name w:val="Body Text;uvlaka 2"/>
    <w:basedOn w:val="Normal"/>
    <w:pPr>
      <w:suppressAutoHyphens/>
      <w:spacing w:after="120"/>
      <w:ind w:leftChars="-1" w:left="-1" w:hangingChars="1" w:hanging="1"/>
      <w:textDirection w:val="btLr"/>
      <w:textAlignment w:val="top"/>
      <w:outlineLvl w:val="0"/>
    </w:pPr>
    <w:rPr>
      <w:position w:val="-1"/>
      <w:lang w:val="hr-HR" w:eastAsia="en-US"/>
    </w:rPr>
  </w:style>
  <w:style w:type="character" w:customStyle="1" w:styleId="BodyTextCharuvlaka2Char">
    <w:name w:val="Body Text Char;uvlaka 2 Char"/>
    <w:rPr>
      <w:w w:val="100"/>
      <w:position w:val="-1"/>
      <w:sz w:val="24"/>
      <w:effect w:val="none"/>
      <w:vertAlign w:val="baseline"/>
      <w:cs w:val="0"/>
      <w:em w:val="none"/>
      <w:lang w:val="hr-HR" w:eastAsia="en-US" w:bidi="ar-SA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uppressAutoHyphens/>
      <w:ind w:leftChars="-1" w:left="-1" w:hangingChars="1" w:hanging="1"/>
      <w:jc w:val="left"/>
      <w:textDirection w:val="btLr"/>
      <w:textAlignment w:val="top"/>
      <w:outlineLvl w:val="0"/>
    </w:pPr>
    <w:rPr>
      <w:position w:val="-1"/>
      <w:lang w:val="hr-HR"/>
    </w:r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  <w:lang w:val="hr-HR" w:eastAsia="hr-HR" w:bidi="ar-SA"/>
    </w:rPr>
  </w:style>
  <w:style w:type="paragraph" w:customStyle="1" w:styleId="Goran1">
    <w:name w:val="Goran 1"/>
    <w:pPr>
      <w:widowControl w:val="0"/>
      <w:tabs>
        <w:tab w:val="left" w:pos="-720"/>
      </w:tabs>
      <w:autoSpaceDE w:val="0"/>
      <w:autoSpaceDN w:val="0"/>
      <w:adjustRightInd w:val="0"/>
      <w:spacing w:line="240" w:lineRule="atLeast"/>
      <w:ind w:leftChars="-1" w:left="-1" w:hangingChars="1" w:hanging="1"/>
      <w:textDirection w:val="btLr"/>
      <w:textAlignment w:val="top"/>
      <w:outlineLvl w:val="0"/>
    </w:pPr>
    <w:rPr>
      <w:rFonts w:ascii="Courier New" w:eastAsia="Calibri" w:hAnsi="Courier New" w:cs="Courier New"/>
      <w:spacing w:val="-2"/>
      <w:position w:val="-1"/>
      <w:sz w:val="22"/>
      <w:szCs w:val="22"/>
      <w:lang w:val="en-GB" w:eastAsia="en-US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hr-HR" w:eastAsia="en-US"/>
    </w:rPr>
  </w:style>
  <w:style w:type="character" w:customStyle="1" w:styleId="FooterChar">
    <w:name w:val="Footer Char"/>
    <w:rPr>
      <w:w w:val="100"/>
      <w:position w:val="-1"/>
      <w:sz w:val="24"/>
      <w:effect w:val="none"/>
      <w:vertAlign w:val="baseline"/>
      <w:cs w:val="0"/>
      <w:em w:val="none"/>
      <w:lang w:val="hr-HR" w:eastAsia="en-US" w:bidi="ar-SA"/>
    </w:rPr>
  </w:style>
  <w:style w:type="character" w:styleId="PageNumber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pPr>
      <w:suppressAutoHyphens/>
      <w:spacing w:before="144" w:after="192"/>
      <w:ind w:leftChars="-1" w:left="-1" w:hangingChars="1" w:hanging="1"/>
      <w:jc w:val="left"/>
      <w:textDirection w:val="btLr"/>
      <w:textAlignment w:val="top"/>
      <w:outlineLvl w:val="0"/>
    </w:pPr>
    <w:rPr>
      <w:position w:val="-1"/>
      <w:lang w:val="hr-HR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hr-HR" w:eastAsia="en-US"/>
    </w:rPr>
  </w:style>
  <w:style w:type="character" w:customStyle="1" w:styleId="Heading1Char2">
    <w:name w:val="Heading 1 Char2"/>
    <w:rPr>
      <w:rFonts w:ascii="Times New Roman" w:hAnsi="Times New Roman"/>
      <w:i/>
      <w:w w:val="100"/>
      <w:position w:val="-1"/>
      <w:sz w:val="20"/>
      <w:u w:val="single"/>
      <w:effect w:val="none"/>
      <w:vertAlign w:val="baseline"/>
      <w:cs w:val="0"/>
      <w:em w:val="none"/>
    </w:rPr>
  </w:style>
  <w:style w:type="character" w:customStyle="1" w:styleId="CharChar26">
    <w:name w:val="Char Char26"/>
    <w:rPr>
      <w:i/>
      <w:iCs/>
      <w:w w:val="100"/>
      <w:position w:val="-1"/>
      <w:u w:val="single"/>
      <w:effect w:val="none"/>
      <w:vertAlign w:val="baseline"/>
      <w:cs w:val="0"/>
      <w:em w:val="none"/>
      <w:lang w:val="hr-HR" w:eastAsia="en-US" w:bidi="ar-SA"/>
    </w:rPr>
  </w:style>
  <w:style w:type="character" w:customStyle="1" w:styleId="CharChar20">
    <w:name w:val="Char Char20"/>
    <w:rPr>
      <w:rFonts w:ascii="Arial" w:hAnsi="Arial" w:cs="Arial"/>
      <w:b/>
      <w:bCs/>
      <w:w w:val="100"/>
      <w:position w:val="-1"/>
      <w:sz w:val="18"/>
      <w:effect w:val="none"/>
      <w:vertAlign w:val="baseline"/>
      <w:cs w:val="0"/>
      <w:em w:val="none"/>
      <w:lang w:val="hr-HR" w:eastAsia="hr-HR" w:bidi="ar-SA"/>
    </w:rPr>
  </w:style>
  <w:style w:type="character" w:customStyle="1" w:styleId="CharChar13">
    <w:name w:val="Char Char13"/>
    <w:rPr>
      <w:w w:val="100"/>
      <w:position w:val="-1"/>
      <w:sz w:val="24"/>
      <w:effect w:val="none"/>
      <w:vertAlign w:val="baseline"/>
      <w:cs w:val="0"/>
      <w:em w:val="none"/>
      <w:lang w:val="hr-HR" w:eastAsia="en-US" w:bidi="ar-SA"/>
    </w:rPr>
  </w:style>
  <w:style w:type="character" w:customStyle="1" w:styleId="CharChar10">
    <w:name w:val="Char Char10"/>
    <w:rPr>
      <w:w w:val="100"/>
      <w:position w:val="-1"/>
      <w:sz w:val="24"/>
      <w:effect w:val="none"/>
      <w:vertAlign w:val="baseline"/>
      <w:cs w:val="0"/>
      <w:em w:val="none"/>
      <w:lang w:val="hr-HR" w:eastAsia="en-US" w:bidi="ar-SA"/>
    </w:rPr>
  </w:style>
  <w:style w:type="character" w:customStyle="1" w:styleId="CharChar17">
    <w:name w:val="Char Char17"/>
    <w:rPr>
      <w:i/>
      <w:iCs/>
      <w:w w:val="100"/>
      <w:position w:val="-1"/>
      <w:u w:val="single"/>
      <w:effect w:val="none"/>
      <w:vertAlign w:val="baseline"/>
      <w:cs w:val="0"/>
      <w:em w:val="none"/>
      <w:lang w:val="hr-HR" w:eastAsia="en-US" w:bidi="ar-SA"/>
    </w:rPr>
  </w:style>
  <w:style w:type="character" w:customStyle="1" w:styleId="CharChar11">
    <w:name w:val="Char Char11"/>
    <w:rPr>
      <w:rFonts w:ascii="Arial" w:hAnsi="Arial" w:cs="Arial"/>
      <w:b/>
      <w:bCs/>
      <w:w w:val="100"/>
      <w:position w:val="-1"/>
      <w:sz w:val="18"/>
      <w:effect w:val="none"/>
      <w:vertAlign w:val="baseline"/>
      <w:cs w:val="0"/>
      <w:em w:val="none"/>
      <w:lang w:val="hr-HR" w:eastAsia="hr-HR" w:bidi="ar-SA"/>
    </w:rPr>
  </w:style>
  <w:style w:type="character" w:customStyle="1" w:styleId="CharChar6">
    <w:name w:val="Char Char6"/>
    <w:rPr>
      <w:w w:val="100"/>
      <w:position w:val="-1"/>
      <w:sz w:val="24"/>
      <w:effect w:val="none"/>
      <w:vertAlign w:val="baseline"/>
      <w:cs w:val="0"/>
      <w:em w:val="none"/>
      <w:lang w:val="hr-HR" w:eastAsia="en-US" w:bidi="ar-SA"/>
    </w:rPr>
  </w:style>
  <w:style w:type="character" w:customStyle="1" w:styleId="CharChar5">
    <w:name w:val="Char Char5"/>
    <w:rPr>
      <w:w w:val="100"/>
      <w:position w:val="-1"/>
      <w:sz w:val="24"/>
      <w:effect w:val="none"/>
      <w:vertAlign w:val="baseline"/>
      <w:cs w:val="0"/>
      <w:em w:val="none"/>
      <w:lang w:val="hr-HR" w:eastAsia="en-US" w:bidi="ar-SA"/>
    </w:rPr>
  </w:style>
  <w:style w:type="character" w:customStyle="1" w:styleId="Heading1Char">
    <w:name w:val="Heading 1 Char"/>
    <w:rPr>
      <w:rFonts w:ascii="Calibri Light" w:hAnsi="Calibri Light" w:cs="Times New Roman"/>
      <w:color w:val="2E74B5"/>
      <w:w w:val="100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Heading7Char">
    <w:name w:val="Heading 7 Char"/>
    <w:rPr>
      <w:rFonts w:ascii="Arial" w:hAnsi="Arial" w:cs="Arial"/>
      <w:b/>
      <w:bCs/>
      <w:w w:val="100"/>
      <w:position w:val="-1"/>
      <w:sz w:val="20"/>
      <w:szCs w:val="20"/>
      <w:effect w:val="none"/>
      <w:vertAlign w:val="baseline"/>
      <w:cs w:val="0"/>
      <w:em w:val="none"/>
      <w:lang w:eastAsia="hr-HR"/>
    </w:rPr>
  </w:style>
  <w:style w:type="character" w:customStyle="1" w:styleId="BodyTextIndentChar">
    <w:name w:val="Body Text Indent Char"/>
    <w:rPr>
      <w:rFonts w:ascii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uppressAutoHyphens/>
      <w:ind w:leftChars="-1" w:left="-1" w:hangingChars="1" w:hanging="1"/>
      <w:textDirection w:val="btLr"/>
      <w:textAlignment w:val="top"/>
      <w:outlineLvl w:val="0"/>
    </w:pPr>
    <w:rPr>
      <w:i/>
      <w:position w:val="-1"/>
      <w:lang w:val="hr-HR"/>
    </w:rPr>
  </w:style>
  <w:style w:type="character" w:customStyle="1" w:styleId="BodyText2Char">
    <w:name w:val="Body Text 2 Char"/>
    <w:rPr>
      <w:i/>
      <w:w w:val="100"/>
      <w:position w:val="-1"/>
      <w:sz w:val="24"/>
      <w:effect w:val="none"/>
      <w:vertAlign w:val="baseline"/>
      <w:cs w:val="0"/>
      <w:em w:val="none"/>
      <w:lang w:val="hr-HR" w:eastAsia="hr-HR" w:bidi="ar-SA"/>
    </w:rPr>
  </w:style>
  <w:style w:type="paragraph" w:styleId="BodyTextIndent2">
    <w:name w:val="Body Text Indent 2"/>
    <w:basedOn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hr-HR" w:eastAsia="en-US"/>
    </w:rPr>
  </w:style>
  <w:style w:type="character" w:customStyle="1" w:styleId="BodyTextIndent2Char">
    <w:name w:val="Body Text Indent 2 Char"/>
    <w:rPr>
      <w:w w:val="100"/>
      <w:position w:val="-1"/>
      <w:sz w:val="24"/>
      <w:effect w:val="none"/>
      <w:vertAlign w:val="baseline"/>
      <w:cs w:val="0"/>
      <w:em w:val="none"/>
      <w:lang w:val="hr-HR" w:eastAsia="en-US" w:bidi="ar-SA"/>
    </w:rPr>
  </w:style>
  <w:style w:type="paragraph" w:customStyle="1" w:styleId="BodyTextIndent3uvlaka3uvlaka21uvlaka211">
    <w:name w:val="Body Text Indent 3;uvlaka 3;uvlaka 21;uvlaka 211"/>
    <w:basedOn w:val="Normal"/>
    <w:pPr>
      <w:tabs>
        <w:tab w:val="left" w:pos="709"/>
      </w:tabs>
      <w:suppressAutoHyphens/>
      <w:ind w:leftChars="-1" w:left="705" w:hangingChars="1" w:hanging="705"/>
      <w:textDirection w:val="btLr"/>
      <w:textAlignment w:val="top"/>
      <w:outlineLvl w:val="0"/>
    </w:pPr>
    <w:rPr>
      <w:b/>
      <w:bCs/>
      <w:position w:val="-1"/>
      <w:lang w:val="hr-HR" w:eastAsia="en-US"/>
    </w:rPr>
  </w:style>
  <w:style w:type="character" w:customStyle="1" w:styleId="BodyTextIndent3Charuvlaka3Charuvlaka21Charuvlaka211Char">
    <w:name w:val="Body Text Indent 3 Char;uvlaka 3 Char;uvlaka 21 Char;uvlaka 211 Char"/>
    <w:rPr>
      <w:b/>
      <w:bCs/>
      <w:w w:val="100"/>
      <w:position w:val="-1"/>
      <w:sz w:val="24"/>
      <w:effect w:val="none"/>
      <w:vertAlign w:val="baseline"/>
      <w:cs w:val="0"/>
      <w:em w:val="none"/>
      <w:lang w:val="hr-HR" w:eastAsia="en-US" w:bidi="ar-SA"/>
    </w:rPr>
  </w:style>
  <w:style w:type="paragraph" w:styleId="BalloonText">
    <w:name w:val="Balloon Text"/>
    <w:basedOn w:val="Normal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ahoma" w:eastAsia="Calibri" w:hAnsi="Tahoma" w:cs="Tahoma"/>
      <w:position w:val="-1"/>
      <w:sz w:val="16"/>
      <w:szCs w:val="16"/>
      <w:lang w:val="hr-HR" w:eastAsia="en-US"/>
    </w:rPr>
  </w:style>
  <w:style w:type="character" w:customStyle="1" w:styleId="BalloonTextChar">
    <w:name w:val="Balloon Text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hr-HR" w:eastAsia="en-US" w:bidi="ar-SA"/>
    </w:rPr>
  </w:style>
  <w:style w:type="paragraph" w:styleId="BodyText3">
    <w:name w:val="Body Text 3"/>
    <w:basedOn w:val="Normal"/>
    <w:pPr>
      <w:suppressAutoHyphens/>
      <w:spacing w:after="120"/>
      <w:ind w:leftChars="-1" w:left="-1" w:hangingChars="1" w:hanging="1"/>
      <w:textDirection w:val="btLr"/>
      <w:textAlignment w:val="top"/>
      <w:outlineLvl w:val="0"/>
    </w:pPr>
    <w:rPr>
      <w:position w:val="-1"/>
      <w:sz w:val="16"/>
      <w:szCs w:val="16"/>
      <w:lang w:val="en-US" w:eastAsia="en-US"/>
    </w:rPr>
  </w:style>
  <w:style w:type="character" w:customStyle="1" w:styleId="BodyText3Char">
    <w:name w:val="Body Text 3 Char"/>
    <w:rPr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ar-SA"/>
    </w:rPr>
  </w:style>
  <w:style w:type="character" w:customStyle="1" w:styleId="TitleChar">
    <w:name w:val="Title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val="hr-HR" w:eastAsia="en-US" w:bidi="ar-SA"/>
    </w:rPr>
  </w:style>
  <w:style w:type="paragraph" w:customStyle="1" w:styleId="t-9-8">
    <w:name w:val="t-9-8"/>
    <w:basedOn w:val="Normal"/>
    <w:pP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position w:val="-1"/>
      <w:lang w:val="hr-HR"/>
    </w:rPr>
  </w:style>
  <w:style w:type="paragraph" w:styleId="List">
    <w:name w:val="List"/>
    <w:basedOn w:val="Normal"/>
    <w:pPr>
      <w:suppressAutoHyphens/>
      <w:spacing w:line="360" w:lineRule="auto"/>
      <w:ind w:leftChars="-1" w:left="360" w:hangingChars="1" w:hanging="360"/>
      <w:textDirection w:val="btLr"/>
      <w:textAlignment w:val="top"/>
      <w:outlineLvl w:val="0"/>
    </w:pPr>
    <w:rPr>
      <w:position w:val="-1"/>
      <w:lang w:val="hr-HR"/>
    </w:rPr>
  </w:style>
  <w:style w:type="paragraph" w:styleId="Caption">
    <w:name w:val="caption"/>
    <w:basedOn w:val="Normal"/>
    <w:next w:val="Normal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Arial" w:eastAsia="Calibri" w:hAnsi="Arial"/>
      <w:b/>
      <w:position w:val="-1"/>
      <w:sz w:val="20"/>
      <w:lang w:val="hr-HR" w:eastAsia="en-US"/>
    </w:rPr>
  </w:style>
  <w:style w:type="paragraph" w:customStyle="1" w:styleId="BodyTextuvlaka3uvlaka2">
    <w:name w:val="Body Text.uvlaka 3.uvlaka 2"/>
    <w:basedOn w:val="Normal"/>
    <w:pPr>
      <w:suppressAutoHyphens/>
      <w:ind w:leftChars="-1" w:left="-1" w:hangingChars="1" w:hanging="1"/>
      <w:jc w:val="left"/>
      <w:textDirection w:val="btLr"/>
      <w:textAlignment w:val="top"/>
      <w:outlineLvl w:val="0"/>
    </w:pPr>
    <w:rPr>
      <w:position w:val="-1"/>
      <w:lang w:val="hr-HR" w:eastAsia="en-US"/>
    </w:rPr>
  </w:style>
  <w:style w:type="paragraph" w:customStyle="1" w:styleId="BodyTextuvlaka3">
    <w:name w:val="Body Text.uvlaka 3"/>
    <w:basedOn w:val="Normal"/>
    <w:pPr>
      <w:suppressAutoHyphens/>
      <w:ind w:leftChars="-1" w:left="-1" w:hangingChars="1" w:hanging="1"/>
      <w:jc w:val="left"/>
      <w:textDirection w:val="btLr"/>
      <w:textAlignment w:val="top"/>
      <w:outlineLvl w:val="0"/>
    </w:pPr>
    <w:rPr>
      <w:position w:val="-1"/>
      <w:lang w:val="hr-HR" w:eastAsia="en-US"/>
    </w:rPr>
  </w:style>
  <w:style w:type="paragraph" w:customStyle="1" w:styleId="BodyTextIndent2uvlaka2">
    <w:name w:val="Body Text Indent 2.uvlaka 2"/>
    <w:basedOn w:val="Normal"/>
    <w:pPr>
      <w:suppressAutoHyphens/>
      <w:ind w:leftChars="-1" w:left="720" w:hangingChars="1" w:hanging="1"/>
      <w:textDirection w:val="btLr"/>
      <w:textAlignment w:val="top"/>
      <w:outlineLvl w:val="0"/>
    </w:pPr>
    <w:rPr>
      <w:rFonts w:ascii="Arial" w:eastAsia="Calibri" w:hAnsi="Arial"/>
      <w:position w:val="-1"/>
      <w:lang w:val="hr-HR" w:eastAsia="en-US"/>
    </w:rPr>
  </w:style>
  <w:style w:type="character" w:customStyle="1" w:styleId="CharChar1">
    <w:name w:val="Char Char1"/>
    <w:rPr>
      <w:i/>
      <w:iCs/>
      <w:w w:val="100"/>
      <w:position w:val="-1"/>
      <w:u w:val="single"/>
      <w:effect w:val="none"/>
      <w:vertAlign w:val="baseline"/>
      <w:cs w:val="0"/>
      <w:em w:val="none"/>
      <w:lang w:val="hr-HR" w:eastAsia="en-US" w:bidi="ar-SA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font5">
    <w:name w:val="font5"/>
    <w:basedOn w:val="Normal"/>
    <w:pP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rFonts w:ascii="Tahoma" w:eastAsia="Calibri" w:hAnsi="Tahoma" w:cs="Tahoma"/>
      <w:color w:val="000000"/>
      <w:position w:val="-1"/>
      <w:sz w:val="16"/>
      <w:szCs w:val="16"/>
      <w:lang w:val="hr-HR"/>
    </w:rPr>
  </w:style>
  <w:style w:type="paragraph" w:customStyle="1" w:styleId="font6">
    <w:name w:val="font6"/>
    <w:basedOn w:val="Normal"/>
    <w:pP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rFonts w:ascii="Tahoma" w:eastAsia="Calibri" w:hAnsi="Tahoma" w:cs="Tahoma"/>
      <w:b/>
      <w:bCs/>
      <w:color w:val="000000"/>
      <w:position w:val="-1"/>
      <w:sz w:val="16"/>
      <w:szCs w:val="16"/>
      <w:lang w:val="hr-HR"/>
    </w:rPr>
  </w:style>
  <w:style w:type="paragraph" w:customStyle="1" w:styleId="font7">
    <w:name w:val="font7"/>
    <w:basedOn w:val="Normal"/>
    <w:pP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rFonts w:ascii="Arial" w:eastAsia="Calibri" w:hAnsi="Arial" w:cs="Arial"/>
      <w:color w:val="000000"/>
      <w:position w:val="-1"/>
      <w:sz w:val="20"/>
      <w:lang w:val="hr-HR"/>
    </w:rPr>
  </w:style>
  <w:style w:type="paragraph" w:customStyle="1" w:styleId="xl197">
    <w:name w:val="xl197"/>
    <w:basedOn w:val="Normal"/>
    <w:pP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198">
    <w:name w:val="xl198"/>
    <w:basedOn w:val="Normal"/>
    <w:pP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199">
    <w:name w:val="xl199"/>
    <w:basedOn w:val="Normal"/>
    <w:pPr>
      <w:shd w:val="clear" w:color="auto" w:fill="FFFF00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position w:val="-1"/>
      <w:lang w:val="hr-HR"/>
    </w:rPr>
  </w:style>
  <w:style w:type="paragraph" w:customStyle="1" w:styleId="xl200">
    <w:name w:val="xl200"/>
    <w:basedOn w:val="Normal"/>
    <w:pP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01">
    <w:name w:val="xl201"/>
    <w:basedOn w:val="Normal"/>
    <w:pPr>
      <w:pBdr>
        <w:top w:val="single" w:sz="4" w:space="0" w:color="auto"/>
        <w:bottom w:val="single" w:sz="4" w:space="0" w:color="auto"/>
      </w:pBdr>
      <w:shd w:val="clear" w:color="auto" w:fill="C0C0C0"/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b/>
      <w:bCs/>
      <w:position w:val="-1"/>
      <w:lang w:val="hr-HR"/>
    </w:rPr>
  </w:style>
  <w:style w:type="paragraph" w:customStyle="1" w:styleId="xl202">
    <w:name w:val="xl202"/>
    <w:basedOn w:val="Normal"/>
    <w:pPr>
      <w:pBdr>
        <w:top w:val="single" w:sz="4" w:space="0" w:color="auto"/>
        <w:bottom w:val="single" w:sz="4" w:space="0" w:color="auto"/>
      </w:pBdr>
      <w:shd w:val="clear" w:color="auto" w:fill="C0C0C0"/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b/>
      <w:bCs/>
      <w:position w:val="-1"/>
      <w:lang w:val="hr-HR"/>
    </w:rPr>
  </w:style>
  <w:style w:type="paragraph" w:customStyle="1" w:styleId="xl203">
    <w:name w:val="xl203"/>
    <w:basedOn w:val="Normal"/>
    <w:pPr>
      <w:pBdr>
        <w:top w:val="single" w:sz="4" w:space="0" w:color="auto"/>
        <w:bottom w:val="single" w:sz="4" w:space="0" w:color="auto"/>
      </w:pBdr>
      <w:shd w:val="clear" w:color="auto" w:fill="00FFFF"/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b/>
      <w:bCs/>
      <w:position w:val="-1"/>
      <w:lang w:val="hr-HR"/>
    </w:rPr>
  </w:style>
  <w:style w:type="paragraph" w:customStyle="1" w:styleId="xl204">
    <w:name w:val="xl204"/>
    <w:basedOn w:val="Normal"/>
    <w:pPr>
      <w:pBdr>
        <w:top w:val="single" w:sz="4" w:space="0" w:color="auto"/>
        <w:bottom w:val="single" w:sz="4" w:space="0" w:color="auto"/>
      </w:pBdr>
      <w:shd w:val="clear" w:color="auto" w:fill="00FFFF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05">
    <w:name w:val="xl205"/>
    <w:basedOn w:val="Normal"/>
    <w:pPr>
      <w:pBdr>
        <w:top w:val="single" w:sz="4" w:space="0" w:color="auto"/>
        <w:bottom w:val="single" w:sz="4" w:space="0" w:color="auto"/>
      </w:pBdr>
      <w:shd w:val="clear" w:color="auto" w:fill="00FFFF"/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06">
    <w:name w:val="xl206"/>
    <w:basedOn w:val="Normal"/>
    <w:pPr>
      <w:pBdr>
        <w:top w:val="single" w:sz="4" w:space="0" w:color="auto"/>
        <w:bottom w:val="single" w:sz="4" w:space="0" w:color="auto"/>
      </w:pBdr>
      <w:shd w:val="clear" w:color="auto" w:fill="C0C0C0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07">
    <w:name w:val="xl207"/>
    <w:basedOn w:val="Normal"/>
    <w:pPr>
      <w:pBdr>
        <w:top w:val="single" w:sz="4" w:space="0" w:color="auto"/>
        <w:bottom w:val="single" w:sz="4" w:space="0" w:color="auto"/>
      </w:pBdr>
      <w:shd w:val="clear" w:color="auto" w:fill="C0C0C0"/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08">
    <w:name w:val="xl208"/>
    <w:basedOn w:val="Normal"/>
    <w:pPr>
      <w:pBdr>
        <w:top w:val="single" w:sz="4" w:space="0" w:color="auto"/>
        <w:bottom w:val="single" w:sz="4" w:space="0" w:color="auto"/>
      </w:pBdr>
      <w:shd w:val="clear" w:color="auto" w:fill="00FF00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b/>
      <w:bCs/>
      <w:position w:val="-1"/>
      <w:lang w:val="hr-HR"/>
    </w:rPr>
  </w:style>
  <w:style w:type="paragraph" w:customStyle="1" w:styleId="xl209">
    <w:name w:val="xl209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10">
    <w:name w:val="xl210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11">
    <w:name w:val="xl21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position w:val="-1"/>
      <w:lang w:val="hr-HR"/>
    </w:rPr>
  </w:style>
  <w:style w:type="paragraph" w:customStyle="1" w:styleId="xl212">
    <w:name w:val="xl212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13">
    <w:name w:val="xl213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14">
    <w:name w:val="xl214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position w:val="-1"/>
      <w:lang w:val="hr-HR"/>
    </w:rPr>
  </w:style>
  <w:style w:type="paragraph" w:customStyle="1" w:styleId="xl215">
    <w:name w:val="xl215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position w:val="-1"/>
      <w:lang w:val="hr-HR"/>
    </w:rPr>
  </w:style>
  <w:style w:type="paragraph" w:customStyle="1" w:styleId="xl216">
    <w:name w:val="xl216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17">
    <w:name w:val="xl217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18">
    <w:name w:val="xl218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sz w:val="18"/>
      <w:szCs w:val="18"/>
      <w:lang w:val="hr-HR"/>
    </w:rPr>
  </w:style>
  <w:style w:type="paragraph" w:customStyle="1" w:styleId="xl219">
    <w:name w:val="xl219"/>
    <w:basedOn w:val="Normal"/>
    <w:pPr>
      <w:pBdr>
        <w:top w:val="single" w:sz="4" w:space="0" w:color="auto"/>
        <w:bottom w:val="single" w:sz="4" w:space="0" w:color="auto"/>
      </w:pBdr>
      <w:shd w:val="clear" w:color="auto" w:fill="00FF00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b/>
      <w:bCs/>
      <w:position w:val="-1"/>
      <w:lang w:val="hr-HR"/>
    </w:rPr>
  </w:style>
  <w:style w:type="paragraph" w:customStyle="1" w:styleId="xl220">
    <w:name w:val="xl220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b/>
      <w:bCs/>
      <w:position w:val="-1"/>
      <w:lang w:val="hr-HR"/>
    </w:rPr>
  </w:style>
  <w:style w:type="paragraph" w:customStyle="1" w:styleId="xl221">
    <w:name w:val="xl221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22">
    <w:name w:val="xl222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23">
    <w:name w:val="xl223"/>
    <w:basedOn w:val="Normal"/>
    <w:pPr>
      <w:pBdr>
        <w:top w:val="single" w:sz="4" w:space="0" w:color="auto"/>
        <w:bottom w:val="single" w:sz="4" w:space="0" w:color="auto"/>
      </w:pBdr>
      <w:shd w:val="clear" w:color="auto" w:fill="00FF00"/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b/>
      <w:bCs/>
      <w:position w:val="-1"/>
      <w:lang w:val="hr-HR"/>
    </w:rPr>
  </w:style>
  <w:style w:type="paragraph" w:customStyle="1" w:styleId="xl224">
    <w:name w:val="xl224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color w:val="000000"/>
      <w:position w:val="-1"/>
      <w:lang w:val="hr-HR"/>
    </w:rPr>
  </w:style>
  <w:style w:type="paragraph" w:customStyle="1" w:styleId="xl225">
    <w:name w:val="xl225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position w:val="-1"/>
      <w:lang w:val="hr-HR"/>
    </w:rPr>
  </w:style>
  <w:style w:type="paragraph" w:customStyle="1" w:styleId="xl226">
    <w:name w:val="xl226"/>
    <w:basedOn w:val="Normal"/>
    <w:pPr>
      <w:pBdr>
        <w:top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b/>
      <w:bCs/>
      <w:position w:val="-1"/>
      <w:lang w:val="hr-HR"/>
    </w:rPr>
  </w:style>
  <w:style w:type="paragraph" w:customStyle="1" w:styleId="xl227">
    <w:name w:val="xl227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b/>
      <w:bCs/>
      <w:position w:val="-1"/>
      <w:lang w:val="hr-HR"/>
    </w:rPr>
  </w:style>
  <w:style w:type="paragraph" w:customStyle="1" w:styleId="xl228">
    <w:name w:val="xl228"/>
    <w:basedOn w:val="Normal"/>
    <w:pPr>
      <w:pBdr>
        <w:top w:val="single" w:sz="4" w:space="0" w:color="auto"/>
        <w:bottom w:val="single" w:sz="4" w:space="0" w:color="auto"/>
      </w:pBdr>
      <w:shd w:val="clear" w:color="auto" w:fill="C0C0C0"/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b/>
      <w:bCs/>
      <w:position w:val="-1"/>
      <w:lang w:val="hr-HR"/>
    </w:rPr>
  </w:style>
  <w:style w:type="paragraph" w:customStyle="1" w:styleId="xl229">
    <w:name w:val="xl229"/>
    <w:basedOn w:val="Normal"/>
    <w:pPr>
      <w:pBdr>
        <w:top w:val="single" w:sz="4" w:space="0" w:color="auto"/>
        <w:bottom w:val="single" w:sz="4" w:space="0" w:color="auto"/>
      </w:pBdr>
      <w:shd w:val="clear" w:color="auto" w:fill="00FFFF"/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b/>
      <w:bCs/>
      <w:position w:val="-1"/>
      <w:lang w:val="hr-HR"/>
    </w:rPr>
  </w:style>
  <w:style w:type="paragraph" w:customStyle="1" w:styleId="xl230">
    <w:name w:val="xl230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b/>
      <w:bCs/>
      <w:position w:val="-1"/>
      <w:lang w:val="hr-HR"/>
    </w:rPr>
  </w:style>
  <w:style w:type="paragraph" w:customStyle="1" w:styleId="xl231">
    <w:name w:val="xl231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b/>
      <w:bCs/>
      <w:position w:val="-1"/>
      <w:lang w:val="hr-HR"/>
    </w:rPr>
  </w:style>
  <w:style w:type="paragraph" w:customStyle="1" w:styleId="xl232">
    <w:name w:val="xl232"/>
    <w:basedOn w:val="Normal"/>
    <w:pPr>
      <w:pBdr>
        <w:top w:val="single" w:sz="4" w:space="0" w:color="auto"/>
        <w:bottom w:val="single" w:sz="4" w:space="0" w:color="auto"/>
      </w:pBdr>
      <w:shd w:val="clear" w:color="auto" w:fill="00FF00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b/>
      <w:bCs/>
      <w:position w:val="-1"/>
      <w:lang w:val="hr-HR"/>
    </w:rPr>
  </w:style>
  <w:style w:type="paragraph" w:customStyle="1" w:styleId="xl233">
    <w:name w:val="xl2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34">
    <w:name w:val="xl23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position w:val="-1"/>
      <w:lang w:val="hr-HR"/>
    </w:rPr>
  </w:style>
  <w:style w:type="paragraph" w:customStyle="1" w:styleId="xl235">
    <w:name w:val="xl235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color w:val="000000"/>
      <w:position w:val="-1"/>
      <w:lang w:val="hr-HR"/>
    </w:rPr>
  </w:style>
  <w:style w:type="paragraph" w:customStyle="1" w:styleId="xl236">
    <w:name w:val="xl236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color w:val="000000"/>
      <w:position w:val="-1"/>
      <w:lang w:val="hr-HR"/>
    </w:rPr>
  </w:style>
  <w:style w:type="paragraph" w:customStyle="1" w:styleId="xl237">
    <w:name w:val="xl237"/>
    <w:basedOn w:val="Normal"/>
    <w:pPr>
      <w:pBdr>
        <w:top w:val="single" w:sz="4" w:space="0" w:color="auto"/>
        <w:bottom w:val="single" w:sz="4" w:space="0" w:color="auto"/>
      </w:pBdr>
      <w:shd w:val="clear" w:color="auto" w:fill="339966"/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38">
    <w:name w:val="xl238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39">
    <w:name w:val="xl239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40">
    <w:name w:val="xl240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41">
    <w:name w:val="xl241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42">
    <w:name w:val="xl242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43">
    <w:name w:val="xl243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44">
    <w:name w:val="xl244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45">
    <w:name w:val="xl245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46">
    <w:name w:val="xl246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position w:val="-1"/>
      <w:lang w:val="hr-HR"/>
    </w:rPr>
  </w:style>
  <w:style w:type="paragraph" w:customStyle="1" w:styleId="xl247">
    <w:name w:val="xl247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lang w:val="hr-HR"/>
    </w:rPr>
  </w:style>
  <w:style w:type="paragraph" w:customStyle="1" w:styleId="xl248">
    <w:name w:val="xl248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49">
    <w:name w:val="xl249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50">
    <w:name w:val="xl250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51">
    <w:name w:val="xl251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color w:val="FF0000"/>
      <w:position w:val="-1"/>
      <w:lang w:val="hr-HR"/>
    </w:rPr>
  </w:style>
  <w:style w:type="paragraph" w:customStyle="1" w:styleId="xl252">
    <w:name w:val="xl25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53">
    <w:name w:val="xl25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54">
    <w:name w:val="xl254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color w:val="000000"/>
      <w:position w:val="-1"/>
      <w:lang w:val="hr-HR"/>
    </w:rPr>
  </w:style>
  <w:style w:type="paragraph" w:customStyle="1" w:styleId="xl255">
    <w:name w:val="xl255"/>
    <w:basedOn w:val="Normal"/>
    <w:pPr>
      <w:pBdr>
        <w:top w:val="single" w:sz="4" w:space="0" w:color="auto"/>
        <w:bottom w:val="single" w:sz="4" w:space="0" w:color="auto"/>
      </w:pBdr>
      <w:shd w:val="clear" w:color="auto" w:fill="FFFFFF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color w:val="000000"/>
      <w:position w:val="-1"/>
      <w:lang w:val="hr-HR"/>
    </w:rPr>
  </w:style>
  <w:style w:type="paragraph" w:customStyle="1" w:styleId="xl256">
    <w:name w:val="xl256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color w:val="000000"/>
      <w:position w:val="-1"/>
      <w:lang w:val="hr-HR"/>
    </w:rPr>
  </w:style>
  <w:style w:type="paragraph" w:customStyle="1" w:styleId="xl257">
    <w:name w:val="xl257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color w:val="000000"/>
      <w:position w:val="-1"/>
      <w:lang w:val="hr-HR"/>
    </w:rPr>
  </w:style>
  <w:style w:type="paragraph" w:customStyle="1" w:styleId="xl258">
    <w:name w:val="xl258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color w:val="000000"/>
      <w:position w:val="-1"/>
      <w:lang w:val="hr-HR"/>
    </w:rPr>
  </w:style>
  <w:style w:type="paragraph" w:customStyle="1" w:styleId="xl259">
    <w:name w:val="xl259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60">
    <w:name w:val="xl260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61">
    <w:name w:val="xl261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62">
    <w:name w:val="xl262"/>
    <w:basedOn w:val="Normal"/>
    <w:pPr>
      <w:pBdr>
        <w:top w:val="single" w:sz="4" w:space="0" w:color="auto"/>
        <w:bottom w:val="single" w:sz="4" w:space="0" w:color="auto"/>
      </w:pBdr>
      <w:shd w:val="clear" w:color="auto" w:fill="FF9900"/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63">
    <w:name w:val="xl26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uppressAutoHyphens/>
      <w:spacing w:before="100" w:beforeAutospacing="1" w:after="100" w:afterAutospacing="1"/>
      <w:ind w:leftChars="-1" w:left="-1" w:hangingChars="1" w:hanging="1"/>
      <w:jc w:val="left"/>
      <w:textDirection w:val="btLr"/>
      <w:textAlignment w:val="top"/>
      <w:outlineLvl w:val="0"/>
    </w:pPr>
    <w:rPr>
      <w:position w:val="-1"/>
      <w:lang w:val="hr-HR"/>
    </w:rPr>
  </w:style>
  <w:style w:type="paragraph" w:customStyle="1" w:styleId="xl264">
    <w:name w:val="xl264"/>
    <w:basedOn w:val="Normal"/>
    <w:pPr>
      <w:pBdr>
        <w:top w:val="single" w:sz="4" w:space="0" w:color="auto"/>
        <w:bottom w:val="single" w:sz="4" w:space="0" w:color="auto"/>
      </w:pBdr>
      <w:shd w:val="clear" w:color="auto" w:fill="FF9900"/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65">
    <w:name w:val="xl265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66">
    <w:name w:val="xl266"/>
    <w:basedOn w:val="Normal"/>
    <w:pPr>
      <w:pBdr>
        <w:top w:val="single" w:sz="4" w:space="0" w:color="auto"/>
        <w:bottom w:val="single" w:sz="4" w:space="0" w:color="auto"/>
      </w:pBdr>
      <w:shd w:val="clear" w:color="auto" w:fill="3366FF"/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67">
    <w:name w:val="xl267"/>
    <w:basedOn w:val="Normal"/>
    <w:pPr>
      <w:pBdr>
        <w:top w:val="single" w:sz="4" w:space="0" w:color="auto"/>
        <w:bottom w:val="single" w:sz="4" w:space="0" w:color="auto"/>
      </w:pBdr>
      <w:shd w:val="clear" w:color="auto" w:fill="FF00FF"/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68">
    <w:name w:val="xl268"/>
    <w:basedOn w:val="Normal"/>
    <w:pPr>
      <w:pBdr>
        <w:top w:val="single" w:sz="4" w:space="0" w:color="auto"/>
        <w:bottom w:val="single" w:sz="4" w:space="0" w:color="auto"/>
      </w:pBdr>
      <w:shd w:val="clear" w:color="auto" w:fill="FF00FF"/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69">
    <w:name w:val="xl269"/>
    <w:basedOn w:val="Normal"/>
    <w:pPr>
      <w:pBdr>
        <w:top w:val="single" w:sz="4" w:space="0" w:color="auto"/>
        <w:bottom w:val="single" w:sz="4" w:space="0" w:color="auto"/>
      </w:pBdr>
      <w:shd w:val="clear" w:color="auto" w:fill="99CC00"/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70">
    <w:name w:val="xl270"/>
    <w:basedOn w:val="Normal"/>
    <w:pPr>
      <w:pBdr>
        <w:top w:val="single" w:sz="4" w:space="0" w:color="auto"/>
        <w:bottom w:val="single" w:sz="4" w:space="0" w:color="auto"/>
      </w:pBd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  <w:lang w:val="hr-HR"/>
    </w:rPr>
  </w:style>
  <w:style w:type="paragraph" w:customStyle="1" w:styleId="xl271">
    <w:name w:val="xl271"/>
    <w:basedOn w:val="Normal"/>
    <w:pPr>
      <w:pBdr>
        <w:top w:val="single" w:sz="4" w:space="0" w:color="auto"/>
        <w:bottom w:val="single" w:sz="4" w:space="0" w:color="auto"/>
      </w:pBdr>
      <w:shd w:val="clear" w:color="auto" w:fill="FF99CC"/>
      <w:suppressAutoHyphens/>
      <w:spacing w:before="100" w:beforeAutospacing="1" w:after="100" w:afterAutospacing="1"/>
      <w:ind w:leftChars="-1" w:left="-1" w:hangingChars="1" w:hanging="1"/>
      <w:jc w:val="right"/>
      <w:textDirection w:val="btLr"/>
      <w:textAlignment w:val="center"/>
      <w:outlineLvl w:val="0"/>
    </w:pPr>
    <w:rPr>
      <w:position w:val="-1"/>
      <w:lang w:val="hr-HR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uvlaka2CharChar">
    <w:name w:val="uvlaka 2 Char Char"/>
    <w:rPr>
      <w:w w:val="100"/>
      <w:position w:val="-1"/>
      <w:effect w:val="none"/>
      <w:vertAlign w:val="baseline"/>
      <w:cs w:val="0"/>
      <w:em w:val="none"/>
      <w:lang w:val="pl-PL" w:eastAsia="en-US"/>
    </w:rPr>
  </w:style>
  <w:style w:type="character" w:customStyle="1" w:styleId="CharChar170">
    <w:name w:val="Char Char17"/>
    <w:rPr>
      <w:i/>
      <w:w w:val="100"/>
      <w:position w:val="-1"/>
      <w:u w:val="single"/>
      <w:effect w:val="none"/>
      <w:vertAlign w:val="baseline"/>
      <w:cs w:val="0"/>
      <w:em w:val="none"/>
      <w:lang w:val="hr-HR" w:eastAsia="en-US"/>
    </w:rPr>
  </w:style>
  <w:style w:type="character" w:customStyle="1" w:styleId="CharChar110">
    <w:name w:val="Char Char11"/>
    <w:rPr>
      <w:rFonts w:ascii="Arial" w:hAnsi="Arial"/>
      <w:b/>
      <w:w w:val="100"/>
      <w:position w:val="-1"/>
      <w:sz w:val="18"/>
      <w:effect w:val="none"/>
      <w:vertAlign w:val="baseline"/>
      <w:cs w:val="0"/>
      <w:em w:val="none"/>
      <w:lang w:val="hr-HR" w:eastAsia="hr-HR"/>
    </w:rPr>
  </w:style>
  <w:style w:type="character" w:customStyle="1" w:styleId="CharChar8">
    <w:name w:val="Char Char8"/>
    <w:rPr>
      <w:w w:val="100"/>
      <w:position w:val="-1"/>
      <w:effect w:val="none"/>
      <w:vertAlign w:val="baseline"/>
      <w:cs w:val="0"/>
      <w:em w:val="none"/>
      <w:lang w:val="hr-HR" w:eastAsia="en-US"/>
    </w:rPr>
  </w:style>
  <w:style w:type="paragraph" w:customStyle="1" w:styleId="ListParagraph1">
    <w:name w:val="List Paragraph1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hr-HR" w:eastAsia="en-US"/>
    </w:rPr>
  </w:style>
  <w:style w:type="character" w:customStyle="1" w:styleId="CharChar60">
    <w:name w:val="Char Char6"/>
    <w:rPr>
      <w:w w:val="100"/>
      <w:position w:val="-1"/>
      <w:sz w:val="24"/>
      <w:effect w:val="none"/>
      <w:vertAlign w:val="baseline"/>
      <w:cs w:val="0"/>
      <w:em w:val="none"/>
      <w:lang w:val="hr-HR" w:eastAsia="en-US"/>
    </w:rPr>
  </w:style>
  <w:style w:type="character" w:customStyle="1" w:styleId="CharChar50">
    <w:name w:val="Char Char5"/>
    <w:rPr>
      <w:w w:val="100"/>
      <w:position w:val="-1"/>
      <w:sz w:val="24"/>
      <w:effect w:val="none"/>
      <w:vertAlign w:val="baseline"/>
      <w:cs w:val="0"/>
      <w:em w:val="none"/>
      <w:lang w:val="hr-HR" w:eastAsia="en-US"/>
    </w:rPr>
  </w:style>
  <w:style w:type="character" w:customStyle="1" w:styleId="CharChar18">
    <w:name w:val="Char Char18"/>
    <w:rPr>
      <w:i/>
      <w:w w:val="100"/>
      <w:position w:val="-1"/>
      <w:u w:val="single"/>
      <w:effect w:val="none"/>
      <w:vertAlign w:val="baseline"/>
      <w:cs w:val="0"/>
      <w:em w:val="none"/>
      <w:lang w:val="hr-HR" w:eastAsia="en-US"/>
    </w:rPr>
  </w:style>
  <w:style w:type="character" w:customStyle="1" w:styleId="CharChar12">
    <w:name w:val="Char Char12"/>
    <w:rPr>
      <w:rFonts w:ascii="Arial" w:hAnsi="Arial"/>
      <w:b/>
      <w:w w:val="100"/>
      <w:position w:val="-1"/>
      <w:sz w:val="18"/>
      <w:effect w:val="none"/>
      <w:vertAlign w:val="baseline"/>
      <w:cs w:val="0"/>
      <w:em w:val="none"/>
      <w:lang w:val="hr-HR" w:eastAsia="hr-HR"/>
    </w:rPr>
  </w:style>
  <w:style w:type="character" w:customStyle="1" w:styleId="CharChar7">
    <w:name w:val="Char Char7"/>
    <w:rPr>
      <w:w w:val="100"/>
      <w:position w:val="-1"/>
      <w:sz w:val="24"/>
      <w:effect w:val="none"/>
      <w:vertAlign w:val="baseline"/>
      <w:cs w:val="0"/>
      <w:em w:val="none"/>
      <w:lang w:val="hr-HR" w:eastAsia="en-US"/>
    </w:rPr>
  </w:style>
  <w:style w:type="character" w:customStyle="1" w:styleId="Heading1Char1">
    <w:name w:val="Heading 1 Char1"/>
    <w:rPr>
      <w:i/>
      <w:w w:val="100"/>
      <w:position w:val="-1"/>
      <w:u w:val="single"/>
      <w:effect w:val="none"/>
      <w:vertAlign w:val="baseline"/>
      <w:cs w:val="0"/>
      <w:em w:val="none"/>
      <w:lang w:val="hr-HR" w:eastAsia="en-US"/>
    </w:rPr>
  </w:style>
  <w:style w:type="paragraph" w:styleId="CommentText">
    <w:name w:val="annotation text"/>
    <w:basedOn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0"/>
      <w:lang w:val="hr-HR" w:eastAsia="en-US"/>
    </w:rPr>
  </w:style>
  <w:style w:type="character" w:customStyle="1" w:styleId="CommentTextChar">
    <w:name w:val="Comment Text Char"/>
    <w:rPr>
      <w:w w:val="100"/>
      <w:position w:val="-1"/>
      <w:effect w:val="none"/>
      <w:vertAlign w:val="baseline"/>
      <w:cs w:val="0"/>
      <w:em w:val="none"/>
      <w:lang w:val="hr-HR" w:eastAsia="en-US" w:bidi="ar-SA"/>
    </w:rPr>
  </w:style>
  <w:style w:type="character" w:customStyle="1" w:styleId="CharChar15">
    <w:name w:val="Char Char15"/>
    <w:rPr>
      <w:b/>
      <w:bCs/>
      <w:w w:val="100"/>
      <w:position w:val="-1"/>
      <w:effect w:val="none"/>
      <w:vertAlign w:val="baseline"/>
      <w:cs w:val="0"/>
      <w:em w:val="none"/>
      <w:lang w:val="pl-PL" w:eastAsia="en-US" w:bidi="ar-SA"/>
    </w:rPr>
  </w:style>
  <w:style w:type="character" w:customStyle="1" w:styleId="CharChar14">
    <w:name w:val="Char Char14"/>
    <w:rPr>
      <w:rFonts w:ascii="Arial" w:hAnsi="Arial"/>
      <w:b/>
      <w:bCs/>
      <w:w w:val="100"/>
      <w:position w:val="-1"/>
      <w:sz w:val="16"/>
      <w:effect w:val="none"/>
      <w:vertAlign w:val="baseline"/>
      <w:cs w:val="0"/>
      <w:em w:val="none"/>
      <w:lang w:val="hr-HR" w:eastAsia="hr-HR" w:bidi="ar-SA"/>
    </w:rPr>
  </w:style>
  <w:style w:type="character" w:customStyle="1" w:styleId="CharChar120">
    <w:name w:val="Char Char12"/>
    <w:rPr>
      <w:b/>
      <w:bCs/>
      <w:w w:val="100"/>
      <w:position w:val="-1"/>
      <w:sz w:val="16"/>
      <w:effect w:val="none"/>
      <w:vertAlign w:val="baseline"/>
      <w:cs w:val="0"/>
      <w:em w:val="none"/>
      <w:lang w:val="hr-HR" w:eastAsia="en-US" w:bidi="ar-SA"/>
    </w:rPr>
  </w:style>
  <w:style w:type="character" w:customStyle="1" w:styleId="CharChar9">
    <w:name w:val="Char Char9"/>
    <w:rPr>
      <w:rFonts w:ascii="Arial" w:hAnsi="Arial" w:cs="Arial"/>
      <w:b/>
      <w:bCs/>
      <w:w w:val="100"/>
      <w:position w:val="-1"/>
      <w:sz w:val="18"/>
      <w:szCs w:val="24"/>
      <w:effect w:val="none"/>
      <w:vertAlign w:val="baseline"/>
      <w:cs w:val="0"/>
      <w:em w:val="none"/>
      <w:lang w:val="hr-HR" w:eastAsia="hr-HR" w:bidi="ar-SA"/>
    </w:rPr>
  </w:style>
  <w:style w:type="character" w:customStyle="1" w:styleId="CharChar80">
    <w:name w:val="Char Char8"/>
    <w:rPr>
      <w:w w:val="100"/>
      <w:position w:val="-1"/>
      <w:effect w:val="none"/>
      <w:vertAlign w:val="baseline"/>
      <w:cs w:val="0"/>
      <w:em w:val="none"/>
      <w:lang w:val="hr-HR" w:eastAsia="en-US" w:bidi="ar-SA"/>
    </w:rPr>
  </w:style>
  <w:style w:type="character" w:customStyle="1" w:styleId="CharChar70">
    <w:name w:val="Char Char7"/>
    <w:rPr>
      <w:i/>
      <w:w w:val="100"/>
      <w:position w:val="-1"/>
      <w:sz w:val="24"/>
      <w:effect w:val="none"/>
      <w:vertAlign w:val="baseline"/>
      <w:cs w:val="0"/>
      <w:em w:val="none"/>
      <w:lang w:val="hr-HR" w:eastAsia="hr-HR" w:bidi="ar-SA"/>
    </w:rPr>
  </w:style>
  <w:style w:type="character" w:customStyle="1" w:styleId="CharChar4">
    <w:name w:val="Char Char4"/>
    <w:rPr>
      <w:w w:val="100"/>
      <w:position w:val="-1"/>
      <w:sz w:val="24"/>
      <w:effect w:val="none"/>
      <w:vertAlign w:val="baseline"/>
      <w:cs w:val="0"/>
      <w:em w:val="none"/>
      <w:lang w:val="hr-HR" w:eastAsia="en-US" w:bidi="ar-SA"/>
    </w:rPr>
  </w:style>
  <w:style w:type="character" w:customStyle="1" w:styleId="uvlaka2CharChar1">
    <w:name w:val="uvlaka 2 Char Char1"/>
    <w:rPr>
      <w:w w:val="100"/>
      <w:position w:val="-1"/>
      <w:effect w:val="none"/>
      <w:vertAlign w:val="baseline"/>
      <w:cs w:val="0"/>
      <w:em w:val="none"/>
      <w:lang w:val="pl-PL" w:eastAsia="en-US" w:bidi="ar-SA"/>
    </w:rPr>
  </w:style>
  <w:style w:type="character" w:customStyle="1" w:styleId="CharChar2">
    <w:name w:val="Char Char2"/>
    <w:rPr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ar-SA"/>
    </w:rPr>
  </w:style>
  <w:style w:type="paragraph" w:styleId="TOC2">
    <w:name w:val="toc 2"/>
    <w:basedOn w:val="Normal"/>
    <w:next w:val="Normal"/>
    <w:pPr>
      <w:tabs>
        <w:tab w:val="right" w:leader="dot" w:pos="8313"/>
      </w:tabs>
      <w:suppressAutoHyphens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b/>
      <w:bCs/>
      <w:i/>
      <w:iCs/>
      <w:position w:val="-1"/>
      <w:sz w:val="20"/>
      <w:lang w:val="hr-HR"/>
    </w:rPr>
  </w:style>
  <w:style w:type="character" w:customStyle="1" w:styleId="CharChar16">
    <w:name w:val="Char Char1"/>
    <w:rPr>
      <w:i/>
      <w:iCs/>
      <w:w w:val="100"/>
      <w:position w:val="-1"/>
      <w:u w:val="single"/>
      <w:effect w:val="none"/>
      <w:vertAlign w:val="baseline"/>
      <w:cs w:val="0"/>
      <w:em w:val="none"/>
      <w:lang w:val="hr-HR" w:eastAsia="en-US" w:bidi="ar-SA"/>
    </w:rPr>
  </w:style>
  <w:style w:type="character" w:customStyle="1" w:styleId="uvlaka2CharChar0">
    <w:name w:val="uvlaka 2 Char Char"/>
    <w:rPr>
      <w:w w:val="100"/>
      <w:position w:val="-1"/>
      <w:effect w:val="none"/>
      <w:vertAlign w:val="baseline"/>
      <w:cs w:val="0"/>
      <w:em w:val="none"/>
      <w:lang w:val="pl-PL" w:eastAsia="en-US" w:bidi="ar-SA"/>
    </w:rPr>
  </w:style>
  <w:style w:type="paragraph" w:styleId="NoSpacing">
    <w:name w:val="No Spacing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val="hr-HR" w:eastAsia="en-US"/>
    </w:rPr>
  </w:style>
  <w:style w:type="paragraph" w:customStyle="1" w:styleId="ListParagraph2">
    <w:name w:val="List Paragraph2"/>
    <w:basedOn w:val="Normal"/>
    <w:pPr>
      <w:suppressAutoHyphens/>
      <w:spacing w:after="160" w:line="259" w:lineRule="auto"/>
      <w:ind w:leftChars="-1" w:left="720" w:hangingChars="1" w:hanging="1"/>
      <w:contextualSpacing/>
      <w:jc w:val="left"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val="hr-HR" w:eastAsia="en-US"/>
    </w:rPr>
  </w:style>
  <w:style w:type="paragraph" w:styleId="Date">
    <w:name w:val="Date"/>
    <w:basedOn w:val="Normal"/>
    <w:next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hr-HR" w:eastAsia="en-US"/>
    </w:rPr>
  </w:style>
  <w:style w:type="character" w:customStyle="1" w:styleId="DateChar">
    <w:name w:val="Date Char"/>
    <w:rPr>
      <w:w w:val="100"/>
      <w:position w:val="-1"/>
      <w:sz w:val="24"/>
      <w:effect w:val="none"/>
      <w:vertAlign w:val="baseline"/>
      <w:cs w:val="0"/>
      <w:em w:val="none"/>
      <w:lang w:val="hr-H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RD+OOTBG6Suts/IKCKFq+/JhEg==">CgMxLjA4AHIhMW1zZ3g2VFIzTzFGaXozX3hCQWRZTlhHcWhDbEdlWWxr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11</Pages>
  <Words>3372</Words>
  <Characters>19226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mbubalo</dc:creator>
  <cp:lastModifiedBy>Racunovodstvo</cp:lastModifiedBy>
  <cp:revision>23</cp:revision>
  <dcterms:created xsi:type="dcterms:W3CDTF">2020-09-23T11:17:00Z</dcterms:created>
  <dcterms:modified xsi:type="dcterms:W3CDTF">2026-10-21T09:56:00Z</dcterms:modified>
</cp:coreProperties>
</file>