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1397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13972" w:rsidRDefault="005E504E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13972" w:rsidRDefault="005E504E">
            <w:pPr>
              <w:spacing w:after="0" w:line="240" w:lineRule="auto"/>
            </w:pPr>
            <w:r>
              <w:t>17925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13972" w:rsidRDefault="005E504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13972" w:rsidRDefault="005E504E">
            <w:pPr>
              <w:spacing w:after="0" w:line="240" w:lineRule="auto"/>
            </w:pPr>
            <w:r>
              <w:t>STROJARSKA TEHNIČKA ŠKOLA OSIJEK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13972" w:rsidRDefault="005E504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13972" w:rsidRDefault="005E504E">
            <w:pPr>
              <w:spacing w:after="0" w:line="240" w:lineRule="auto"/>
            </w:pPr>
            <w:r>
              <w:t>31</w:t>
            </w:r>
          </w:p>
        </w:tc>
      </w:tr>
    </w:tbl>
    <w:p w:rsidR="00C13972" w:rsidRDefault="005E504E">
      <w:r>
        <w:br/>
      </w:r>
    </w:p>
    <w:p w:rsidR="00C13972" w:rsidRDefault="005E504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13972" w:rsidRDefault="005E504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13972" w:rsidRDefault="005E504E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13972" w:rsidRDefault="00C13972"/>
    <w:p w:rsidR="00C13972" w:rsidRDefault="005E504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1.867.462,64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1.960.978,26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105,0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1.942.371,82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2.251.739,72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C139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74.909,18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290.761,46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388,2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18.628,39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30.140,07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161,8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C139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18.628,39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30.140,07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161,8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C139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C139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93.537,57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320.901,53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343,1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manjak prvenstveno je rezultat nesrazmjera između planiranih i ostvarenih prihoda te većeg intenziteta izvršavanja rashoda u izvještajnom razdoblju. Pojedini prihodi bilježe slabiju realizaciju zbog datuma priljeva. Odnosi se na plaću i naknadu z</w:t>
      </w:r>
      <w:r>
        <w:t>a nezapošljavanje invalida za prosinac 2025. i na uplatu za ERASMUS+ projekt. Istodobno, rashodi su realizirani u većem opsegu, dijelom zbog provedbe ugovorenih obveza u ovom izvještajnom razdoblju. Rashodi su veći zbog inflacije, ERASMUS+ projekta i troše</w:t>
      </w:r>
      <w:r>
        <w:t xml:space="preserve">nje viška prihoda iz prethodne godine. Također, </w:t>
      </w:r>
      <w:r>
        <w:lastRenderedPageBreak/>
        <w:t>nije bilo ostvarenih primitaka od prodaje nefinancijske imovine, što je dodatno utjecalo na negativno stanje. Ostvareni manjak planira se nadoknaditi u idućoj godini, kroz povećanje prihoda, racionalizaciju r</w:t>
      </w:r>
      <w:r>
        <w:t>ashoda i moguću preraspodjelu sredstava unutar proračuna.    </w:t>
      </w:r>
    </w:p>
    <w:p w:rsidR="00C13972" w:rsidRDefault="005E504E">
      <w:r>
        <w:t>Sukladno članku 15. Pravilnika o financijskom izvještavanju u Proračunskom računovodstvu izjavljujemo da nemamo ugovore koji bi u određenom trenutku mogli</w:t>
      </w:r>
      <w:r w:rsidR="00A1133B">
        <w:t xml:space="preserve"> postati obveza ili imovina. </w:t>
      </w:r>
    </w:p>
    <w:p w:rsidR="00C13972" w:rsidRDefault="005E504E">
      <w:r>
        <w:t>Tijekom</w:t>
      </w:r>
      <w:r>
        <w:t xml:space="preserve"> navedenog razdoblja nije bilo sudskih postupaka i nemamo isplata po istima.</w:t>
      </w:r>
    </w:p>
    <w:p w:rsidR="00D812BA" w:rsidRDefault="00D812BA"/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</w:t>
            </w:r>
            <w:r>
              <w:rPr>
                <w:sz w:val="18"/>
              </w:rPr>
              <w:t>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1.867.462,64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1.960.978,26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105,0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prihodi su povećani za 5,00% u odnosu na isto razdoblje prošle godine, razlog tome su povećana davanja od strane Ministarstva znanosti, obrazovanja i mladih Republike Hrvatske za plaće i materijalna prava za djelatnike škole. Također, povećanje o</w:t>
      </w:r>
      <w:r>
        <w:t>stalih nespomenutih prihoda su razlog uplate od strane prijevoznika.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</w:t>
            </w:r>
            <w:r>
              <w:rPr>
                <w:sz w:val="18"/>
              </w:rPr>
              <w:t>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1141,4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U izvještajnom razdoblju ostvareno je povećanje prihoda u iznosu od 1.223,92 eura, razlog tome je dobijanje sredstva Ministarstva znanosti i obrazovanja za besplatne udžbenike i lektiru.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58.101,60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11.143,20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19,2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Na kontu 6381 ostvareno je 58.101,60 eura u prethodnoj godini te 11.143,20 eura u tekućoj godini, što odražava dinamiku provedbe i fazu realizacije EU projekata financiranih prijenosom EU sredstava.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2.874,12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prihodi su povećani za 8,50% u odnosu na isto razdoblje prošle godine, razlog tome su uplate od strane prijevoznika za višednevne izvanučioničke nastave i povrati troškova za putne troškove na WorldSkills Croatia 2025 koje se natjecanje održalo u</w:t>
      </w:r>
      <w:r>
        <w:t xml:space="preserve"> Zagrebu u ovom izvještajnom razdoblju.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95.578,96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154.069,12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161,2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prihodi su povećani za 61,20% u odnosu na isto razdoblje prošle godine, razlog tome su povećani upis polaznika na obrazovanje odraslih prekvalifikaciju ili usavršavanje, osposobljavanje (mikrokvalifikacija). Navedeno se povećanje odnosi i na sura</w:t>
      </w:r>
      <w:r>
        <w:t>dnju HZZ-a kao obrazovna institucija koja je uključena u program vaučera.</w:t>
      </w:r>
    </w:p>
    <w:p w:rsidR="00D812BA" w:rsidRDefault="00D812BA"/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</w:t>
            </w:r>
            <w:r>
              <w:rPr>
                <w:sz w:val="18"/>
              </w:rPr>
              <w:t>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139.171,76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153.889,32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Usporedba pokazuje povećanje troškova materijala i usluga za 14.717,56 eura u odnosu na prethodnu godinu, što se može pripisati rastu cijena materijala i usluga.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prihodi su povećani za 26,30% u odnosu na isto razdoblje prošle godine, razlog tome su povećana davanja za kupovinu knjiga po učeniku sa 0,5 eura na 1,00 euro, prilagodba ulaznih vrata prema Protokolu o kontroli ulaska i izlaska u školskim ustano</w:t>
      </w:r>
      <w:r>
        <w:t>vama te prilagodba električne mreže za punionicu električkog auta.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</w:t>
            </w:r>
            <w:r>
              <w:rPr>
                <w:sz w:val="18"/>
              </w:rPr>
              <w:t>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1.942.371,82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2.251.739,72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U ovom izvještajnom razdoblju 2025. godine rashodi su povećani za 15,90% u odnosu na isto razdoblje prošle godine. Razlog tome su veća davanja za plaće, odnosno povećanje osnovice za plaću i materijalna prava te veća potrošnja viška prihoda iz prethodne go</w:t>
      </w:r>
      <w:r>
        <w:t>dine iz vlastitih sredstava.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35.732,73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41.426,66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rashodi su povećani za 15,90% u odnosu na isto razdoblje prošle godine, razlog tome su bolovanja i službena putovanja.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237.368,13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275.359,50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rashodi su povećani za 16,00% u odnosu na isto razdoblje prošle godine, razlog tome su povećanje osnovice za plaću, isplate radnicima za obrazovanje odraslih (prekvalifikacija i mikrokvalifikacija), oporeziva materijalna prava i prijevoz zaposlen</w:t>
      </w:r>
      <w:r>
        <w:t>ika.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216.617,58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250.722,82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rashodi su povećani za 15,70% u odnosu na isto razdoblje prošle godine, razlog tome su povećana službena putovanja djelatnika, te povećane cijene za materijal (uredski i za tekuće i investicijsko održavanje). Također povećan je i iznos za energ</w:t>
      </w:r>
      <w:r>
        <w:t>iju što zbog povećanja grijanja i kupovine goriva za službeni auto. Na sve navedeno utječe inflacija.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144,4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rashodi su povećani za 44,40% u odnosu na isto razdoblje prošle godine, razlog tome je kupovina zvučnika i miševa.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693,9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rashodi u ovom izvještajnom razdoblju su povećani za 593,90%. Razlog tome je kupovina radne odjeće za ERASMUS+ projekt i kupovina radne opreme za tehničko i pomoćno osoblje.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13.267,68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26.683,26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201,1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rashodi su u ovom izvještajnom razdoblju povećani za 101,10% u odnosu na prethodno razdoblje.  Razlog tome je usluga skidanja postojećeg laminata i postavljanje novog parketa te lakiranje istoga u uredu. Također, bila je plaćena i usluga obnove C</w:t>
      </w:r>
      <w:r>
        <w:t>NC strojeva koji služe za izvođenje praktične nastave.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1.423,42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9.498,33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667,3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rashodi su povećani za 567,30% u odnosu na isto razdoblje prošle godine, razlog tome su potpisivani ugovori o djelu za radnika koji obavlja posao predavača u programu mikrokvalifikacije polaznika, ugovori o djelu za Međužupanijsko natjecanje iz s</w:t>
      </w:r>
      <w:r>
        <w:t>trojarske tehnike i robotike koje se održalo u našoj školi te ugovor o djelu za razvrstavanje i izlučivanje dokumentiranog gradiva, izrada popisa izlučenog dokumentiranog gradiva te izrada zbirnog/topografskog popisa dokumentiranog gradiva u pismohrani ško</w:t>
      </w:r>
      <w:r>
        <w:t>le.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3.987,69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rashodi su povećani za 6,00% u odnosu na isto razdoblje prošle godine, razlog tome su povećani rashodi za produženje cerfitikata za FINA-u, korištenje informacijskog sustava (EDUPAGE) te korištenje elektronskog sustava uredskog poslovanja i vođen</w:t>
      </w:r>
      <w:r>
        <w:t>je knjigovodstva u sustavu Riznica.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rashodi su povećani za 8,60% u odnosu na isto razdoblje prošle godine, razlog tome su povećani rashodi za usluge izrade pečata, zamjena jastuka u pečatu, graviranja pločica za natpise na vratima i usluga uveza e-dnevnika.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11.017,18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27.763,99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252,0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 xml:space="preserve">Ostvareni rashodi su povećani za 152,00% u odnosu na isto razdoblje prošle godine, razlog tome su povećanje naknade za nezapošljavanje invalida, materijala i darova za najbolje maturante u školskoj godini </w:t>
      </w:r>
      <w:proofErr w:type="gramStart"/>
      <w:r>
        <w:t>2024./</w:t>
      </w:r>
      <w:proofErr w:type="gramEnd"/>
      <w:r>
        <w:t>2025. Na sve navedeno utječu određeni uvjeti,</w:t>
      </w:r>
      <w:r>
        <w:t xml:space="preserve"> a najviše inflacija.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4.016,08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22.442,15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558,8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 xml:space="preserve">Ostvareni rashodi su povećani za 458,80% u odnosu na isto razdoblje prošle godine, razlog tome su povećanja refundacije računa, darova za najbolje maturante u školskoj godini </w:t>
      </w:r>
      <w:proofErr w:type="gramStart"/>
      <w:r>
        <w:t>2024./</w:t>
      </w:r>
      <w:proofErr w:type="gramEnd"/>
      <w:r>
        <w:t>2025. i materijala koji se nije mogao smjestiti u druga konta.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rashodi su povećani za 9,10% u odnosu na isto razdoblje prošle godine, razlog tome su povećana županijska sredstva osigurana za nabavu higijenskih potrepština.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C139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1.942.371,82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2.251.739,72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ukupni rashodi su povećani za 15,90% u odnosu na isto razdoblje prošle godine, razlog tome su ubrzana realizacija određenih aktivnosti, osobito onih koji se financiraju iz vlastitih i namjenskih sredstava. Povećani troškovi energenata i usluga, u</w:t>
      </w:r>
      <w:r>
        <w:t>slijed inflacijskih kretanja i rasta cijena na tržištu, koji nisu bili u potpunosti predviđeni u trenutku izrade financijskog plana. Uključujući povećanje osnovice kao rashode za zaposlene, isplate materijalnih prava, također su doprinijeli većem ostvarenj</w:t>
      </w:r>
      <w:r>
        <w:t>u u odnosu na plan. </w:t>
      </w:r>
    </w:p>
    <w:p w:rsidR="00C13972" w:rsidRDefault="00C13972"/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C139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74.909,18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290.761,46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388,2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Manjak prihoda poslovanja su povećana u odnosu na isto razdoblje prošle godine, razlog tome su plaća za prosinac 2025., naknada za nezapošljavanje invalida i projekt ERASMUS+ (nove upute za knjiženje).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203.719,52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413.796,39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203,1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Povećanje prihoda na kontu 92211 u tekućem razdoblju u odnosu na prethodnu godinu rezultat je nekoliko ključnih čimbenika, a to su povećana potražnja za uslugama obrazovanja odraslih usavršavanja i osposobljavanja (mikrokvalifikacije - HZZ vaučeri), uvođen</w:t>
      </w:r>
      <w:r>
        <w:t>je novih programa usavršavanja i osposobljavanja te povećanje cijena usluga koje Škola nudi. 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247.977,56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50.775,20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20,5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Navedeni prihod je smanjen zbog novog pravila evidentiranja ERASMUS+ projekata. 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18.628,39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30.140,07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161,8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rashodi u ovom izvještajnom razdoblju iznose 30.140,07 eura. Razlog tome je kupovina uređaja za prednamještanje alata i kupovina električnog automobila za obrazovne svrhe (služi za redovne učenike i obrazovanje odraslih) te uređaj za punjenje ele</w:t>
      </w:r>
      <w:r>
        <w:t>ktričnog automobila. Također, služi i za promociju Škole, jer je oblijepljen sa podacima o Školi i QR kodom koja vodi do informacija o Školi.</w:t>
      </w:r>
    </w:p>
    <w:p w:rsidR="00C13972" w:rsidRDefault="00C13972"/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rashodi u ovom izvještajnom razdoblju iznose 193,75 eura. Razlog tome je zamjena brava te primjena Protokola o ulasku i izlasku u školskim ustanovama.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362,9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rashodi u ovom izvještajnom razdoblju iznose 5.451,89 eura. Razlog tome je zamjena dotrajalih/pokvarenih monitora, računala i printera.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137,3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Ostvareni rashodi u ovom izvještajnom razdoblju iznose 1.378,74 eura. Razlog tome je kupovina knjiga za stručnu literaturu i lektiru u školskoj knjižnici.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C139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93.537,57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320.901,53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343,1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Manjak prihoda od nefinancijske imovine upućuje na to da su tijekom izvještajnog razdoblja realizirana ulaganja u dugotrajnu imovinu, dok prihodovna strana nije bilježila prodaju imovine ili druge slične izvore sredstava.</w:t>
      </w:r>
    </w:p>
    <w:p w:rsidR="00A1133B" w:rsidRDefault="00A1133B"/>
    <w:p w:rsidR="00C13972" w:rsidRDefault="005E504E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</w:t>
            </w:r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C139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2.100.794,16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2.078.893,51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99,0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U izvještajnom razdoblju je ostvarena vrijednost imovine smanjena i sada iznosi 2.078.893,51 eura. Razlog tome je amortizacija osnovnih sredstava za 2025. godinu. Iako se kupovala imovina koja je potrebna za zamjenu imovine ili kupovinu nove imovine.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216,3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U izvještajnom razdoblju je ostvarena vrijednost imovine povećana i sada iznosi 1.031,39 eura. Razlog tome je donacija stolnoteniskog stola sa pripadajućom opremom koju smo dobili od Školskog športskog saveza OBŽ-a.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19.904,72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21.479,72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U izvještajnom razdoblju je ostvaren ispravak vrijednosti prijevoznih sredstava povećan i sada iznosi 21.479,72 eura. Razlog tome je kupovina električnog automobila koji služi za obrazovanje redovnih učenika i polaznika obrazovanja odraslih, te promociju Š</w:t>
      </w:r>
      <w:r>
        <w:t>kole zbog toga što je isti oslikan oznakama Škole.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4.055,72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95,4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U izvještajnom razdoblju ostvareno je smanjenje potraživanja od HZZO-a za refundacije bolovanja. U 2025. je izvršen povrat sredstava za isplaćena bolovanja pa je to razlog smanjenju u odnosu na 2024. godinu. 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415.781,60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524.775,51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126,2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U izvještajnom razdoblju potraživanja za prihode poslovanja su povećana. Razlog tome su dobivena sredstva za ERASMUS+ projekte i potraživanja sredstva uplaćenih u nadležni proračun osnivača jer škola nema više vlastiti račun te sada koristimo jedinstveni r</w:t>
      </w:r>
      <w:r>
        <w:t>ačun čiji je vlasnik osnivač.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C139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2.100.794,16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2.078.893,51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99,0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U izvještajnom razdoblju ukupni iznos obveza je smanjen u odnosu na 2024. godinu. Razlog tome je povećanje obveza za zaposlene, odnosno isplaćena plaća u siječnju 2026. godine. 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10,9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U izvještajnom razdoblju iznos obveza je smanjen u odnosu na 2024. godinu. Na kontu 23958 – Obveze proračunskih korisnika za povrat u proračun su iznosi povrata sredstava za besplatne udžbenike za 2024. godinu. 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64.805,00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U 2025. godini je zabilježen izvanbilančni zapis za Erasmus+ projekt prema novim uputa za evidentiranje računovodstvenih promjena vezanih za projekte u Republici Hrvatskoj. Iznos 64.805,00 eura se odnosi na ukupno dodijeljeni iznos za projekt Erasmus+ Nove</w:t>
      </w:r>
      <w:r>
        <w:t xml:space="preserve"> vještine za bolju budućnost 4.  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167.804,04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208.862,53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124,5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Škola nema vlastiti račun od 10. mjeseca 2020. godine, te se novac uplaćuje u nadležni proračun (Županija). Navedeni iznos je povećan zbog uplate za završetak projekta i uplaćena je prva rata za novi projekt. Također, povećane su i cijene za programe ospos</w:t>
      </w:r>
      <w:r>
        <w:t>obljavanja/usavršavanja i prekvalifikaciju obrazovanja odraslih.</w:t>
      </w:r>
    </w:p>
    <w:p w:rsidR="00C13972" w:rsidRDefault="00C13972"/>
    <w:p w:rsidR="00C13972" w:rsidRDefault="005E504E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 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1.961.000,21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2.281.879,79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lastRenderedPageBreak/>
        <w:t>Rashodi višeg srednjoškolskog obrazovanja su povećani u izvještajnom razdoblju u iznosu od 2.281.879,79 eura, odnosno za 16,4%. Razlog tome je kontinuirano ulaganje u više srednjoškolsko obrazovanje. </w:t>
      </w:r>
    </w:p>
    <w:p w:rsidR="00C13972" w:rsidRDefault="00C13972"/>
    <w:p w:rsidR="00C13972" w:rsidRDefault="005E504E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C139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50.381,40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U izvještajnom razdoblju je amortizirana dugotrajna imovina, te je iznos smanjenja naveden u ovom izvještaju. </w:t>
      </w:r>
    </w:p>
    <w:p w:rsidR="00C13972" w:rsidRDefault="00C13972"/>
    <w:p w:rsidR="00C13972" w:rsidRDefault="005E504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13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397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C139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52.196,87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3972" w:rsidRDefault="005E504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3972" w:rsidRDefault="00C13972">
      <w:pPr>
        <w:spacing w:after="0"/>
      </w:pPr>
    </w:p>
    <w:p w:rsidR="00C13972" w:rsidRDefault="005E504E">
      <w:r>
        <w:t>Stanje dospjelih obveza na kraju izvještajnog razdoblja iznosi 52.196,87 eura. Ono se odnosi u najvećem dijelu na obveze za predujmove EU projekte te kao takav će biti zatvoren tek nakon odrađenog projekta iduće godine. Nemamo nepodmirenih obveza prema dob</w:t>
      </w:r>
      <w:r>
        <w:t>avljačima, zaposlenicima, institucijama, vjerovnicima po kreditima ili drugim obvezama unutar poslovanja, kapitalnih ulaganja i financiranja.</w:t>
      </w:r>
    </w:p>
    <w:p w:rsidR="00C13972" w:rsidRDefault="005E504E">
      <w:pPr>
        <w:keepNext/>
        <w:spacing w:line="240" w:lineRule="auto"/>
        <w:jc w:val="center"/>
      </w:pPr>
      <w:r>
        <w:rPr>
          <w:sz w:val="28"/>
        </w:rPr>
        <w:t>Bilješka 43.</w:t>
      </w:r>
    </w:p>
    <w:p w:rsidR="00C13972" w:rsidRDefault="005E504E">
      <w:pPr>
        <w:spacing w:line="240" w:lineRule="auto"/>
        <w:jc w:val="both"/>
      </w:pPr>
      <w:r>
        <w:rPr>
          <w:b/>
        </w:rPr>
        <w:t>EU izvještaj</w:t>
      </w:r>
    </w:p>
    <w:p w:rsidR="00C13972" w:rsidRDefault="005E504E">
      <w:r>
        <w:t>Projekt Erasmus+ Nove vještine za bolju budućnost 3 dobiven je 2024. godine u iznosu od</w:t>
      </w:r>
      <w:r>
        <w:t xml:space="preserve"> 50.372,00 eura. Troškovi navedenog projekta su započeli u 2025. godini, te su troškovi nastali za navedeni projekt na kontu 3.  </w:t>
      </w:r>
    </w:p>
    <w:p w:rsidR="00C13972" w:rsidRDefault="005E504E">
      <w:r>
        <w:t>Na kontu 6381 evidentiran je prihod od 11.143,20 eura u izvještajnom razdoblju tekuće godine. Ovaj konto obuhvaća tekuće pomoć</w:t>
      </w:r>
      <w:r>
        <w:t>i koje se ostvaruju prijenosom sredstava iz Europske unije, putem nacionalnih provedbenih tijela (AMPEU). Druga uplata za gore navedeni projekt u iznosu od 10.074,40 eura je uplaćena nakon podnesenog izvještaja za završetak projekta u 2025. godini, a iznos</w:t>
      </w:r>
      <w:r>
        <w:t xml:space="preserve"> od 1.068,80 eura je priznati prihod za novi projekt Erasmus+ Nove vještine za bolju budućnost 4. </w:t>
      </w:r>
    </w:p>
    <w:p w:rsidR="00C13972" w:rsidRDefault="005E504E">
      <w:r>
        <w:lastRenderedPageBreak/>
        <w:t>Svi rashodi evidentirani na kontu 3 odnose se na provedbu EU projektnih aktivnosti te predstavljaju prihvatljive i opravdane troškove financirane EU sredstvi</w:t>
      </w:r>
      <w:r>
        <w:t>ma. </w:t>
      </w:r>
    </w:p>
    <w:p w:rsidR="00C13972" w:rsidRDefault="005E504E">
      <w:r>
        <w:t>Konto 96383 u iznosu od 50.775,20 eura odnosi se na namjenska EU sredstva evidentirana radi praćenja i razgraničenja financiranja EU projektnih aktivnosti.</w:t>
      </w:r>
    </w:p>
    <w:p w:rsidR="00C13972" w:rsidRDefault="005E504E">
      <w:r>
        <w:t>Konto 16383 u iznosu od 50.755,20 eura odnosi se na potraživanje za EU sredstva temeljem prizna</w:t>
      </w:r>
      <w:r>
        <w:t>tih projektnih troškova. </w:t>
      </w:r>
    </w:p>
    <w:p w:rsidR="00C13972" w:rsidRDefault="005E504E">
      <w:r>
        <w:t>Konto 99171 u iznosu od 64.805,00 eura odnosi se na evidenciju odobrenih i namjenskih EU sredstava za provedbu EU projektnih aktivnosti za projekt Erasmus+ Nove vještine za bolju budućnost 4.</w:t>
      </w:r>
    </w:p>
    <w:p w:rsidR="0026431E" w:rsidRDefault="0026431E" w:rsidP="00E24D1F">
      <w:pPr>
        <w:spacing w:after="0" w:line="240" w:lineRule="auto"/>
        <w:jc w:val="both"/>
        <w:rPr>
          <w:szCs w:val="24"/>
          <w:lang w:val="hr-HR"/>
        </w:rPr>
      </w:pPr>
    </w:p>
    <w:p w:rsidR="0026431E" w:rsidRDefault="0026431E" w:rsidP="00E24D1F">
      <w:pPr>
        <w:spacing w:after="0" w:line="240" w:lineRule="auto"/>
        <w:jc w:val="both"/>
        <w:rPr>
          <w:szCs w:val="24"/>
          <w:lang w:val="hr-HR"/>
        </w:rPr>
      </w:pPr>
    </w:p>
    <w:p w:rsidR="005E504E" w:rsidRPr="00A1133B" w:rsidRDefault="005E504E" w:rsidP="005E504E">
      <w:pPr>
        <w:spacing w:after="0" w:line="240" w:lineRule="auto"/>
        <w:jc w:val="both"/>
        <w:rPr>
          <w:szCs w:val="24"/>
          <w:lang w:val="hr-HR"/>
        </w:rPr>
      </w:pPr>
      <w:r w:rsidRPr="00A1133B">
        <w:rPr>
          <w:szCs w:val="24"/>
          <w:lang w:val="hr-HR"/>
        </w:rPr>
        <w:t>Bilješke pripremila i sastavila: Marta Koprivnjak, voditeljica računovodstva</w:t>
      </w:r>
    </w:p>
    <w:p w:rsidR="005E504E" w:rsidRPr="00A1133B" w:rsidRDefault="005E504E" w:rsidP="005E504E">
      <w:pPr>
        <w:spacing w:after="0" w:line="240" w:lineRule="auto"/>
        <w:jc w:val="both"/>
        <w:rPr>
          <w:szCs w:val="24"/>
          <w:lang w:val="hr-HR"/>
        </w:rPr>
      </w:pPr>
      <w:r w:rsidRPr="00A1133B">
        <w:rPr>
          <w:szCs w:val="24"/>
          <w:lang w:val="hr-HR"/>
        </w:rPr>
        <w:t>U Osijeku, 31.12.2025.</w:t>
      </w:r>
    </w:p>
    <w:p w:rsidR="005E504E" w:rsidRDefault="005E504E" w:rsidP="005E504E">
      <w:pPr>
        <w:spacing w:after="0" w:line="240" w:lineRule="auto"/>
        <w:jc w:val="both"/>
        <w:rPr>
          <w:b/>
          <w:szCs w:val="24"/>
          <w:lang w:val="hr-HR"/>
        </w:rPr>
      </w:pPr>
    </w:p>
    <w:p w:rsidR="005E504E" w:rsidRPr="009713B1" w:rsidRDefault="005E504E" w:rsidP="005E504E">
      <w:pPr>
        <w:spacing w:after="0" w:line="240" w:lineRule="auto"/>
        <w:jc w:val="both"/>
        <w:rPr>
          <w:b/>
          <w:szCs w:val="24"/>
          <w:lang w:val="hr-HR"/>
        </w:rPr>
      </w:pPr>
    </w:p>
    <w:p w:rsidR="005E504E" w:rsidRPr="009713B1" w:rsidRDefault="005E504E" w:rsidP="005E504E">
      <w:pPr>
        <w:spacing w:after="0" w:line="240" w:lineRule="auto"/>
        <w:jc w:val="both"/>
        <w:rPr>
          <w:b/>
          <w:szCs w:val="24"/>
          <w:lang w:val="hr-HR"/>
        </w:rPr>
      </w:pPr>
      <w:r w:rsidRPr="009713B1">
        <w:rPr>
          <w:b/>
          <w:szCs w:val="24"/>
          <w:lang w:val="hr-HR"/>
        </w:rPr>
        <w:t>Voditelj</w:t>
      </w:r>
      <w:r>
        <w:rPr>
          <w:b/>
          <w:szCs w:val="24"/>
          <w:lang w:val="hr-HR"/>
        </w:rPr>
        <w:t>ica</w:t>
      </w:r>
      <w:r w:rsidRPr="009713B1">
        <w:rPr>
          <w:b/>
          <w:szCs w:val="24"/>
          <w:lang w:val="hr-HR"/>
        </w:rPr>
        <w:t xml:space="preserve"> računovodstva</w:t>
      </w:r>
      <w:r>
        <w:rPr>
          <w:b/>
          <w:szCs w:val="24"/>
          <w:lang w:val="hr-HR"/>
        </w:rPr>
        <w:t>:</w:t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  <w:t>Ravnatelj:</w:t>
      </w:r>
    </w:p>
    <w:p w:rsidR="005E504E" w:rsidRDefault="005E504E" w:rsidP="005E504E">
      <w:pPr>
        <w:spacing w:after="0" w:line="240" w:lineRule="auto"/>
        <w:jc w:val="both"/>
        <w:rPr>
          <w:b/>
          <w:szCs w:val="24"/>
          <w:lang w:val="hr-HR"/>
        </w:rPr>
      </w:pPr>
    </w:p>
    <w:p w:rsidR="005E504E" w:rsidRDefault="005E504E" w:rsidP="005E504E">
      <w:pPr>
        <w:spacing w:after="0" w:line="240" w:lineRule="auto"/>
        <w:jc w:val="both"/>
        <w:rPr>
          <w:b/>
          <w:szCs w:val="24"/>
          <w:lang w:val="hr-HR"/>
        </w:rPr>
      </w:pPr>
    </w:p>
    <w:p w:rsidR="005E504E" w:rsidRDefault="005E504E" w:rsidP="005E504E">
      <w:pPr>
        <w:spacing w:after="0" w:line="240" w:lineRule="auto"/>
        <w:jc w:val="both"/>
        <w:rPr>
          <w:b/>
          <w:szCs w:val="24"/>
          <w:lang w:val="hr-HR"/>
        </w:rPr>
      </w:pPr>
    </w:p>
    <w:p w:rsidR="005E504E" w:rsidRPr="009713B1" w:rsidRDefault="005E504E" w:rsidP="005E504E">
      <w:pPr>
        <w:spacing w:after="0" w:line="240" w:lineRule="auto"/>
        <w:jc w:val="both"/>
        <w:rPr>
          <w:b/>
          <w:szCs w:val="24"/>
          <w:lang w:val="hr-HR"/>
        </w:rPr>
      </w:pPr>
      <w:r>
        <w:rPr>
          <w:b/>
          <w:szCs w:val="24"/>
          <w:lang w:val="hr-HR"/>
        </w:rPr>
        <w:t>Marta Koprivnjak, mag. oec.</w:t>
      </w:r>
      <w:r w:rsidRPr="009713B1">
        <w:rPr>
          <w:b/>
          <w:szCs w:val="24"/>
          <w:lang w:val="hr-HR"/>
        </w:rPr>
        <w:tab/>
      </w:r>
      <w:r w:rsidRPr="009713B1">
        <w:rPr>
          <w:b/>
          <w:szCs w:val="24"/>
          <w:lang w:val="hr-HR"/>
        </w:rPr>
        <w:tab/>
      </w:r>
      <w:r w:rsidRPr="009713B1"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 w:rsidRPr="009713B1">
        <w:rPr>
          <w:b/>
          <w:szCs w:val="24"/>
          <w:lang w:val="hr-HR"/>
        </w:rPr>
        <w:t>Ivan Adrić, dipl. ing.</w:t>
      </w:r>
    </w:p>
    <w:p w:rsidR="00C13972" w:rsidRDefault="00C13972" w:rsidP="00E24D1F">
      <w:pPr>
        <w:spacing w:after="0" w:line="240" w:lineRule="auto"/>
      </w:pPr>
      <w:bookmarkStart w:id="0" w:name="_GoBack"/>
      <w:bookmarkEnd w:id="0"/>
    </w:p>
    <w:sectPr w:rsidR="00C13972" w:rsidSect="00A1133B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3972"/>
    <w:rsid w:val="0010252A"/>
    <w:rsid w:val="001A696D"/>
    <w:rsid w:val="0026431E"/>
    <w:rsid w:val="005E504E"/>
    <w:rsid w:val="00A1133B"/>
    <w:rsid w:val="00AE01EF"/>
    <w:rsid w:val="00C13972"/>
    <w:rsid w:val="00D812BA"/>
    <w:rsid w:val="00E24D1F"/>
    <w:rsid w:val="00F1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:"/>
  <w14:docId w14:val="2798DEF9"/>
  <w15:docId w15:val="{9F64DA1B-1EEB-42AE-A0C6-4EA419D2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3530</Words>
  <Characters>20123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11</cp:revision>
  <cp:lastPrinted>2026-01-30T10:00:00Z</cp:lastPrinted>
  <dcterms:created xsi:type="dcterms:W3CDTF">2026-01-30T09:42:00Z</dcterms:created>
  <dcterms:modified xsi:type="dcterms:W3CDTF">2026-01-30T10:00:00Z</dcterms:modified>
</cp:coreProperties>
</file>